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B14" w:rsidRDefault="00CE6DF6">
      <w:pPr>
        <w:jc w:val="center"/>
        <w:rPr>
          <w:rFonts w:asciiTheme="majorEastAsia" w:eastAsiaTheme="majorEastAsia" w:hAnsiTheme="majorEastAsia"/>
          <w:b/>
          <w:sz w:val="36"/>
          <w:szCs w:val="36"/>
        </w:rPr>
      </w:pPr>
      <w:r>
        <w:rPr>
          <w:rFonts w:asciiTheme="majorEastAsia" w:eastAsiaTheme="majorEastAsia" w:hAnsiTheme="majorEastAsia" w:hint="eastAsia"/>
          <w:b/>
          <w:sz w:val="36"/>
          <w:szCs w:val="36"/>
        </w:rPr>
        <w:t>福州住房公积金2016年年度报告解读</w:t>
      </w:r>
    </w:p>
    <w:p w:rsidR="00887B14" w:rsidRDefault="00887B14">
      <w:pPr>
        <w:rPr>
          <w:rFonts w:ascii="仿宋_GB2312" w:eastAsia="仿宋_GB2312"/>
          <w:sz w:val="32"/>
          <w:szCs w:val="32"/>
        </w:rPr>
      </w:pP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福州住房公积金2016年年度报告》（以下简称“《年报》”）是依据《关于健全住房公积金信息披露制度的通知》(建金〔2015〕26号)和《福建省住房和城乡建设厅办公室转发住房建设部住房公积金监管司关于做好&lt;住房公积金2016年年度报告&gt;披露工作的通知》(闽建办金函〔2017〕1号)等文件精神，在汇总福州地区四家住房公积金管理机构指标数据的基础上，经福州住房公积金管理委员会审议通过后，于</w:t>
      </w:r>
      <w:r w:rsidR="00F47303">
        <w:rPr>
          <w:rFonts w:ascii="仿宋_GB2312" w:eastAsia="仿宋_GB2312" w:hint="eastAsia"/>
          <w:sz w:val="32"/>
          <w:szCs w:val="32"/>
        </w:rPr>
        <w:t>2017</w:t>
      </w:r>
      <w:r>
        <w:rPr>
          <w:rFonts w:ascii="仿宋_GB2312" w:eastAsia="仿宋_GB2312" w:hint="eastAsia"/>
          <w:sz w:val="32"/>
          <w:szCs w:val="32"/>
        </w:rPr>
        <w:t>年</w:t>
      </w:r>
      <w:r w:rsidR="00F47303">
        <w:rPr>
          <w:rFonts w:ascii="仿宋_GB2312" w:eastAsia="仿宋_GB2312" w:hint="eastAsia"/>
          <w:sz w:val="32"/>
          <w:szCs w:val="32"/>
        </w:rPr>
        <w:t>3月30</w:t>
      </w:r>
      <w:r>
        <w:rPr>
          <w:rFonts w:ascii="仿宋_GB2312" w:eastAsia="仿宋_GB2312" w:hint="eastAsia"/>
          <w:sz w:val="32"/>
          <w:szCs w:val="32"/>
        </w:rPr>
        <w:t>日在《福州日报》、福州市门户网站、福州住房公积金管理中心网站等媒体上对社会进行公开披露。</w:t>
      </w:r>
    </w:p>
    <w:p w:rsidR="00887B14" w:rsidRDefault="00CE6DF6">
      <w:pPr>
        <w:ind w:firstLineChars="200" w:firstLine="640"/>
        <w:rPr>
          <w:rFonts w:ascii="仿宋_GB2312" w:eastAsia="仿宋_GB2312"/>
          <w:sz w:val="32"/>
        </w:rPr>
      </w:pPr>
      <w:r>
        <w:rPr>
          <w:rFonts w:ascii="仿宋_GB2312" w:eastAsia="仿宋_GB2312" w:hint="eastAsia"/>
          <w:sz w:val="32"/>
          <w:szCs w:val="32"/>
        </w:rPr>
        <w:t>2016年《年报》实现了所有指标的全面披露，</w:t>
      </w:r>
      <w:r>
        <w:rPr>
          <w:rFonts w:ascii="仿宋_GB2312" w:eastAsia="仿宋_GB2312" w:hint="eastAsia"/>
          <w:sz w:val="32"/>
        </w:rPr>
        <w:t>内容涵盖了2016年度福州地区住房公积金业务运行、财务状况和资产质量、政策调整等信息，进一步增强了住房公积金管理工作的透明度。</w:t>
      </w:r>
    </w:p>
    <w:p w:rsidR="00887B14" w:rsidRDefault="00CE6DF6" w:rsidP="00FD6915">
      <w:pPr>
        <w:ind w:firstLineChars="196" w:firstLine="630"/>
        <w:rPr>
          <w:rFonts w:ascii="黑体" w:eastAsia="黑体" w:hAnsi="黑体"/>
          <w:b/>
          <w:sz w:val="32"/>
          <w:szCs w:val="32"/>
        </w:rPr>
      </w:pPr>
      <w:r>
        <w:rPr>
          <w:rFonts w:ascii="黑体" w:eastAsia="黑体" w:hAnsi="黑体" w:hint="eastAsia"/>
          <w:b/>
          <w:sz w:val="32"/>
          <w:szCs w:val="32"/>
        </w:rPr>
        <w:t>一、住房公积金业务运行保持良好态势</w:t>
      </w:r>
    </w:p>
    <w:p w:rsidR="00887B14" w:rsidRDefault="00CE6DF6">
      <w:pPr>
        <w:ind w:firstLineChars="200" w:firstLine="643"/>
        <w:rPr>
          <w:rFonts w:ascii="仿宋_GB2312" w:eastAsia="仿宋_GB2312"/>
          <w:b/>
          <w:sz w:val="32"/>
          <w:szCs w:val="32"/>
        </w:rPr>
      </w:pPr>
      <w:r>
        <w:rPr>
          <w:rFonts w:ascii="仿宋_GB2312" w:eastAsia="仿宋_GB2312" w:hint="eastAsia"/>
          <w:b/>
          <w:sz w:val="32"/>
          <w:szCs w:val="32"/>
        </w:rPr>
        <w:t>1、住房公积金归集稳步增长</w:t>
      </w: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通过多年来住房公积金制度的宣传、扩面和执法检查的持续推进，以及公积金提取使用政策的不断完善，尚未建立住房公积金的单位对公积金的缴存意愿逐步提高，2016年福州地区公积金缴存单位数、缴存人数和金额继续保持稳定的增长态势。全年缴存单位17508家（新开户3218家），缴存</w:t>
      </w:r>
      <w:r>
        <w:rPr>
          <w:rFonts w:ascii="仿宋_GB2312" w:eastAsia="仿宋_GB2312" w:hint="eastAsia"/>
          <w:sz w:val="32"/>
          <w:szCs w:val="32"/>
        </w:rPr>
        <w:lastRenderedPageBreak/>
        <w:t>职工84.78万人（新开户22.70万人），缴存额132.41亿元，分别同比增长8.25%、</w:t>
      </w:r>
      <w:r w:rsidR="00804490">
        <w:rPr>
          <w:rFonts w:ascii="仿宋_GB2312" w:eastAsia="仿宋_GB2312" w:hint="eastAsia"/>
          <w:sz w:val="32"/>
          <w:szCs w:val="32"/>
        </w:rPr>
        <w:t>6.32</w:t>
      </w:r>
      <w:r>
        <w:rPr>
          <w:rFonts w:ascii="仿宋_GB2312" w:eastAsia="仿宋_GB2312" w:hint="eastAsia"/>
          <w:sz w:val="32"/>
          <w:szCs w:val="32"/>
        </w:rPr>
        <w:t>%、12.65%。其中，缴存职工人数同比增幅为近三年最高。</w:t>
      </w:r>
    </w:p>
    <w:p w:rsidR="00887B14" w:rsidRDefault="00CE6DF6">
      <w:pPr>
        <w:ind w:firstLineChars="200" w:firstLine="643"/>
        <w:rPr>
          <w:rFonts w:ascii="仿宋_GB2312" w:eastAsia="仿宋_GB2312"/>
          <w:b/>
          <w:sz w:val="32"/>
          <w:szCs w:val="32"/>
        </w:rPr>
      </w:pPr>
      <w:r>
        <w:rPr>
          <w:rFonts w:ascii="仿宋_GB2312" w:eastAsia="仿宋_GB2312" w:hint="eastAsia"/>
          <w:b/>
          <w:sz w:val="32"/>
          <w:szCs w:val="32"/>
        </w:rPr>
        <w:t>2、住房公积金租房提取迅速增长</w:t>
      </w: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2016年，为更好地支持无房职工家庭的基本住房消费，调整了住房公积金租赁提取政策，进一步放宽提取条件，改进提取机制，扩大了该项政策的受益面，2016年福州地区公积金租房提取额为632.21万元，是去年同期的2.3倍。同时，全年住房公积金提取业务也增长显著，职工提取住房公积金95.53亿元，同比增长14.47%，占当年缴存额的比率72.15%。</w:t>
      </w:r>
    </w:p>
    <w:p w:rsidR="00887B14" w:rsidRDefault="00CE6DF6">
      <w:pPr>
        <w:ind w:firstLineChars="200" w:firstLine="643"/>
        <w:rPr>
          <w:rFonts w:ascii="仿宋_GB2312" w:eastAsia="仿宋_GB2312"/>
          <w:b/>
          <w:sz w:val="32"/>
          <w:szCs w:val="32"/>
        </w:rPr>
      </w:pPr>
      <w:r>
        <w:rPr>
          <w:rFonts w:ascii="仿宋_GB2312" w:eastAsia="仿宋_GB2312" w:hint="eastAsia"/>
          <w:b/>
          <w:sz w:val="32"/>
          <w:szCs w:val="32"/>
        </w:rPr>
        <w:t>3、住房公积金个贷规模大幅上升</w:t>
      </w: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为积极贯彻落实</w:t>
      </w:r>
      <w:r>
        <w:rPr>
          <w:rFonts w:ascii="仿宋_GB2312" w:eastAsia="仿宋_GB2312" w:hAnsi="Calibri" w:cs="Times New Roman" w:hint="eastAsia"/>
          <w:sz w:val="32"/>
          <w:szCs w:val="32"/>
        </w:rPr>
        <w:t>中央和省市关于保经济增长、促房市稳定的要求</w:t>
      </w:r>
      <w:r>
        <w:rPr>
          <w:rFonts w:ascii="仿宋_GB2312" w:eastAsia="仿宋_GB2312" w:hint="eastAsia"/>
          <w:sz w:val="32"/>
          <w:szCs w:val="32"/>
        </w:rPr>
        <w:t>，更好的满足缴存职工日益增长的住房公积金贷款购房需求，福州各住房公积金管理机构通过开展“公转商”贴息贷款业务和外部融资等方式筹措资金，进一步加大了对职工购房的支持力度。2016年共计发放个人贷款（含贴息贷款）2.18万笔、111.29</w:t>
      </w:r>
      <w:r w:rsidR="00C2727D">
        <w:rPr>
          <w:rFonts w:ascii="仿宋_GB2312" w:eastAsia="仿宋_GB2312" w:hint="eastAsia"/>
          <w:sz w:val="32"/>
          <w:szCs w:val="32"/>
        </w:rPr>
        <w:t>亿元</w:t>
      </w:r>
      <w:r>
        <w:rPr>
          <w:rFonts w:ascii="仿宋_GB2312" w:eastAsia="仿宋_GB2312" w:hint="eastAsia"/>
          <w:sz w:val="32"/>
          <w:szCs w:val="32"/>
        </w:rPr>
        <w:t>，同比增长26.79%、41.77%，支付贴息额1287.73万元。</w:t>
      </w:r>
    </w:p>
    <w:p w:rsidR="00887B14" w:rsidRDefault="00CE6DF6">
      <w:pPr>
        <w:ind w:firstLineChars="200" w:firstLine="643"/>
        <w:rPr>
          <w:rFonts w:ascii="黑体" w:eastAsia="黑体" w:hAnsi="黑体"/>
          <w:b/>
          <w:sz w:val="32"/>
          <w:szCs w:val="32"/>
        </w:rPr>
      </w:pPr>
      <w:r>
        <w:rPr>
          <w:rFonts w:ascii="黑体" w:eastAsia="黑体" w:hAnsi="黑体" w:hint="eastAsia"/>
          <w:b/>
          <w:sz w:val="32"/>
          <w:szCs w:val="32"/>
        </w:rPr>
        <w:t>二、住房公积金增值收益有所下降</w:t>
      </w: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2016年度实现住房公积金增值收益47664.56万元，同比降低48.14%。增值收益下降的主要原因是住房公积金账户</w:t>
      </w:r>
      <w:r>
        <w:rPr>
          <w:rFonts w:ascii="仿宋_GB2312" w:eastAsia="仿宋_GB2312" w:hint="eastAsia"/>
          <w:sz w:val="32"/>
          <w:szCs w:val="32"/>
        </w:rPr>
        <w:lastRenderedPageBreak/>
        <w:t>存款计息规则的变化和开展融资借款业务等，造成了业务支出的大幅增长，2016年度业务支出68321.15万元，同比增长105.86%。</w:t>
      </w:r>
    </w:p>
    <w:p w:rsidR="00887B14" w:rsidRDefault="00CE6DF6">
      <w:pPr>
        <w:ind w:firstLineChars="200" w:firstLine="643"/>
        <w:rPr>
          <w:rFonts w:ascii="仿宋_GB2312" w:eastAsia="仿宋_GB2312"/>
          <w:b/>
          <w:sz w:val="32"/>
          <w:szCs w:val="32"/>
        </w:rPr>
      </w:pPr>
      <w:r>
        <w:rPr>
          <w:rFonts w:ascii="仿宋_GB2312" w:eastAsia="仿宋_GB2312" w:hint="eastAsia"/>
          <w:b/>
          <w:sz w:val="32"/>
          <w:szCs w:val="32"/>
        </w:rPr>
        <w:t>1、住房公积金利息支出同比增长116.04%</w:t>
      </w: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2016年2月，央行、住建部、财政部联合发文，将职工住房公积金账户存款利率，由原按照归集时间执行活期和三个月存款基准利率（分别为0.35%和1.1%），调整为统一按一年期定期存款基准利率执行（为1.5%）。计息规则的调整导致了住房公积金利息支出金额的大幅增加，2016年度利息支出54653.60万元，占总业务支出的80%，同比增加29355.99万元。</w:t>
      </w:r>
    </w:p>
    <w:p w:rsidR="00887B14" w:rsidRDefault="00CE6DF6">
      <w:pPr>
        <w:ind w:firstLineChars="200" w:firstLine="643"/>
        <w:rPr>
          <w:rFonts w:ascii="仿宋_GB2312" w:eastAsia="仿宋_GB2312"/>
          <w:b/>
          <w:sz w:val="32"/>
          <w:szCs w:val="32"/>
        </w:rPr>
      </w:pPr>
      <w:r>
        <w:rPr>
          <w:rFonts w:ascii="仿宋_GB2312" w:eastAsia="仿宋_GB2312" w:hint="eastAsia"/>
          <w:b/>
          <w:sz w:val="32"/>
          <w:szCs w:val="32"/>
        </w:rPr>
        <w:t>2、新增公转商贴息支出1287.73万元</w:t>
      </w: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随着职工购房意愿的高涨，公转商贴息贷款业务规模也不断增长。2016年发放公转商贷款37.06亿元，支付公转商贷款贴息支出1287.73万元，占总业务支出的1.88%。</w:t>
      </w:r>
    </w:p>
    <w:p w:rsidR="00887B14" w:rsidRDefault="00CE6DF6">
      <w:pPr>
        <w:ind w:firstLineChars="200" w:firstLine="643"/>
        <w:rPr>
          <w:rFonts w:ascii="仿宋_GB2312" w:eastAsia="仿宋_GB2312"/>
          <w:b/>
          <w:sz w:val="32"/>
          <w:szCs w:val="32"/>
        </w:rPr>
      </w:pPr>
      <w:r>
        <w:rPr>
          <w:rFonts w:ascii="仿宋_GB2312" w:eastAsia="仿宋_GB2312" w:hint="eastAsia"/>
          <w:b/>
          <w:sz w:val="32"/>
          <w:szCs w:val="32"/>
        </w:rPr>
        <w:t>3、新增融资借款利息支出4436.86万元</w:t>
      </w:r>
    </w:p>
    <w:p w:rsidR="00887B14" w:rsidRDefault="00CE6DF6">
      <w:pPr>
        <w:ind w:firstLineChars="200" w:firstLine="640"/>
        <w:rPr>
          <w:rFonts w:ascii="仿宋_GB2312" w:eastAsia="仿宋_GB2312"/>
          <w:sz w:val="32"/>
          <w:szCs w:val="32"/>
        </w:rPr>
      </w:pPr>
      <w:r>
        <w:rPr>
          <w:rFonts w:ascii="仿宋_GB2312" w:eastAsia="仿宋_GB2312" w:hint="eastAsia"/>
          <w:sz w:val="32"/>
          <w:szCs w:val="32"/>
        </w:rPr>
        <w:t>为有效缓解住房公积金资金流动性紧张状况，充分满足缴存职工提取、贷款需求，确保住房公积金各项业务顺利运行，</w:t>
      </w:r>
      <w:r w:rsidR="00E91941" w:rsidRPr="00E91941">
        <w:rPr>
          <w:rFonts w:ascii="仿宋_GB2312" w:eastAsia="仿宋_GB2312" w:hint="eastAsia"/>
          <w:sz w:val="32"/>
          <w:szCs w:val="32"/>
        </w:rPr>
        <w:t>2016年</w:t>
      </w:r>
      <w:r w:rsidR="00BA2D7B">
        <w:rPr>
          <w:rFonts w:ascii="仿宋_GB2312" w:eastAsia="仿宋_GB2312" w:hint="eastAsia"/>
          <w:sz w:val="32"/>
          <w:szCs w:val="32"/>
        </w:rPr>
        <w:t>向</w:t>
      </w:r>
      <w:r w:rsidR="00E91941" w:rsidRPr="00E91941">
        <w:rPr>
          <w:rFonts w:ascii="仿宋_GB2312" w:eastAsia="仿宋_GB2312" w:hint="eastAsia"/>
          <w:sz w:val="32"/>
          <w:szCs w:val="32"/>
        </w:rPr>
        <w:t>财政借款总额9亿元、商业银行融资15亿元，</w:t>
      </w:r>
      <w:r>
        <w:rPr>
          <w:rFonts w:ascii="仿宋_GB2312" w:eastAsia="仿宋_GB2312" w:hint="eastAsia"/>
          <w:sz w:val="32"/>
          <w:szCs w:val="32"/>
        </w:rPr>
        <w:t>实际支付融资借款利息支出4436.86万元，占总业务支出的6.49%。该项融资全部用于发放住房公积金贷款，可增加委托贷款利息收入约3000万元，收支相抵后，该项融资对我</w:t>
      </w:r>
      <w:r>
        <w:rPr>
          <w:rFonts w:ascii="仿宋_GB2312" w:eastAsia="仿宋_GB2312" w:hint="eastAsia"/>
          <w:sz w:val="32"/>
          <w:szCs w:val="32"/>
        </w:rPr>
        <w:lastRenderedPageBreak/>
        <w:t xml:space="preserve">市住房公积金增值收益的影响为1436.86万元。 </w:t>
      </w:r>
    </w:p>
    <w:p w:rsidR="00887B14" w:rsidRDefault="00CE6DF6">
      <w:pPr>
        <w:ind w:firstLine="630"/>
        <w:rPr>
          <w:rFonts w:ascii="黑体" w:eastAsia="黑体" w:hAnsi="黑体"/>
          <w:b/>
          <w:sz w:val="32"/>
          <w:szCs w:val="32"/>
        </w:rPr>
      </w:pPr>
      <w:r>
        <w:rPr>
          <w:rFonts w:ascii="黑体" w:eastAsia="黑体" w:hAnsi="黑体" w:hint="eastAsia"/>
          <w:b/>
          <w:sz w:val="32"/>
          <w:szCs w:val="32"/>
        </w:rPr>
        <w:t>三、住房公积金资产风险控制良好</w:t>
      </w:r>
    </w:p>
    <w:p w:rsidR="00935E11" w:rsidRPr="00935E11" w:rsidRDefault="00935E11" w:rsidP="00935E11">
      <w:pPr>
        <w:ind w:firstLine="645"/>
        <w:rPr>
          <w:rFonts w:ascii="仿宋_GB2312" w:eastAsia="仿宋_GB2312"/>
          <w:sz w:val="32"/>
          <w:szCs w:val="32"/>
        </w:rPr>
      </w:pPr>
      <w:r w:rsidRPr="00935E11">
        <w:rPr>
          <w:rFonts w:ascii="仿宋_GB2312" w:eastAsia="仿宋_GB2312" w:hint="eastAsia"/>
          <w:sz w:val="32"/>
          <w:szCs w:val="32"/>
        </w:rPr>
        <w:t>2016年末福州地区住房公积金个贷逾期率为0.086‰，远低于行业个贷逾期率标准值0.1%。年末个贷风险准备金余额为140691.34万元，占个人贷款余额的比率为4.09%，个贷风险准备金计提充足。个人贷款逾期额与个人贷款风险准备金余额的比率为0.21%，从未出现使用个贷风险准备金核销逾期贷款的情况，住房公积金资产风险继续控制良好。</w:t>
      </w:r>
    </w:p>
    <w:p w:rsidR="00887B14" w:rsidRDefault="00CE6DF6">
      <w:pPr>
        <w:ind w:firstLineChars="200" w:firstLine="643"/>
        <w:rPr>
          <w:rFonts w:ascii="黑体" w:eastAsia="黑体" w:hAnsi="黑体"/>
          <w:b/>
          <w:sz w:val="32"/>
          <w:szCs w:val="32"/>
        </w:rPr>
      </w:pPr>
      <w:r>
        <w:rPr>
          <w:rFonts w:ascii="黑体" w:eastAsia="黑体" w:hAnsi="黑体" w:hint="eastAsia"/>
          <w:b/>
          <w:sz w:val="32"/>
          <w:szCs w:val="32"/>
        </w:rPr>
        <w:t>四、取得积极良好的社会经济效益</w:t>
      </w:r>
    </w:p>
    <w:p w:rsidR="00887B14" w:rsidRDefault="00CE6DF6">
      <w:pPr>
        <w:ind w:firstLine="640"/>
        <w:rPr>
          <w:rFonts w:ascii="仿宋_GB2312" w:eastAsia="仿宋_GB2312"/>
          <w:b/>
          <w:sz w:val="32"/>
          <w:szCs w:val="32"/>
        </w:rPr>
      </w:pPr>
      <w:r>
        <w:rPr>
          <w:rFonts w:ascii="仿宋_GB2312" w:eastAsia="仿宋_GB2312" w:hint="eastAsia"/>
          <w:b/>
          <w:sz w:val="32"/>
          <w:szCs w:val="32"/>
        </w:rPr>
        <w:t>1、对</w:t>
      </w:r>
      <w:r>
        <w:rPr>
          <w:rFonts w:ascii="仿宋_GB2312" w:eastAsia="仿宋_GB2312" w:hAnsi="宋体" w:cs="宋体" w:hint="eastAsia"/>
          <w:b/>
          <w:color w:val="000000"/>
          <w:kern w:val="0"/>
          <w:sz w:val="32"/>
          <w:szCs w:val="32"/>
        </w:rPr>
        <w:t>支持职工住房消费</w:t>
      </w:r>
      <w:r>
        <w:rPr>
          <w:rFonts w:ascii="仿宋_GB2312" w:eastAsia="仿宋_GB2312" w:hint="eastAsia"/>
          <w:b/>
          <w:sz w:val="32"/>
          <w:szCs w:val="32"/>
        </w:rPr>
        <w:t>作出了积极贡献</w:t>
      </w:r>
    </w:p>
    <w:p w:rsidR="00887B14" w:rsidRDefault="00CE6DF6">
      <w:pPr>
        <w:ind w:firstLine="640"/>
        <w:rPr>
          <w:rFonts w:ascii="仿宋_GB2312" w:eastAsia="仿宋_GB2312"/>
          <w:sz w:val="32"/>
          <w:szCs w:val="32"/>
        </w:rPr>
      </w:pPr>
      <w:r>
        <w:rPr>
          <w:rFonts w:ascii="仿宋_GB2312" w:eastAsia="仿宋_GB2312" w:hint="eastAsia"/>
          <w:sz w:val="32"/>
          <w:szCs w:val="32"/>
        </w:rPr>
        <w:t>2016年，在缴存方面，住房公积金缴存单位、缴存职工均有所增加，制度覆盖的公平性得到进一步改善。业务系统进一步规范细化了缴存职工按收入分类，其中中低收入职工占到了住房公积金缴存人数的98.15%。在使用方面，2016年通过提取使用、增加贷款使用，有效支持了职工住房消费，减轻了职工住房消费负担，其中住房消费类提取70.41亿元，同比增长19.67%，占全年提取额95.53亿元的73.71%，住房消费提取已成为职工提取使用的主体。</w:t>
      </w:r>
    </w:p>
    <w:p w:rsidR="00887B14" w:rsidRDefault="00CE6DF6">
      <w:pPr>
        <w:ind w:firstLine="640"/>
        <w:rPr>
          <w:rFonts w:ascii="仿宋_GB2312" w:eastAsia="仿宋_GB2312"/>
          <w:b/>
          <w:sz w:val="32"/>
          <w:szCs w:val="32"/>
        </w:rPr>
      </w:pPr>
      <w:r>
        <w:rPr>
          <w:rFonts w:ascii="仿宋_GB2312" w:eastAsia="仿宋_GB2312" w:hint="eastAsia"/>
          <w:b/>
          <w:sz w:val="32"/>
          <w:szCs w:val="32"/>
        </w:rPr>
        <w:t>2、对“去库存、稳发展”发挥了重要作用</w:t>
      </w:r>
    </w:p>
    <w:p w:rsidR="00887B14" w:rsidRDefault="00CE6DF6">
      <w:pPr>
        <w:ind w:firstLine="640"/>
        <w:rPr>
          <w:rFonts w:ascii="仿宋_GB2312" w:eastAsia="仿宋_GB2312"/>
          <w:sz w:val="32"/>
          <w:szCs w:val="32"/>
        </w:rPr>
      </w:pPr>
      <w:r>
        <w:rPr>
          <w:rFonts w:ascii="仿宋_GB2312" w:eastAsia="仿宋_GB2312" w:hint="eastAsia"/>
          <w:sz w:val="32"/>
          <w:szCs w:val="32"/>
        </w:rPr>
        <w:t>2016年，紧密围绕供给侧结构性改革要求，切实发挥住房公积金制度供给性保障作用，扩大个人住房贷款</w:t>
      </w:r>
      <w:bookmarkStart w:id="0" w:name="_GoBack"/>
      <w:bookmarkEnd w:id="0"/>
      <w:r>
        <w:rPr>
          <w:rFonts w:ascii="仿宋_GB2312" w:eastAsia="仿宋_GB2312" w:hint="eastAsia"/>
          <w:sz w:val="32"/>
          <w:szCs w:val="32"/>
        </w:rPr>
        <w:t>，促进房地产市场健康平稳发展。全年住房消费类提取和发放</w:t>
      </w:r>
      <w:r>
        <w:rPr>
          <w:rFonts w:ascii="仿宋_GB2312" w:eastAsia="仿宋_GB2312" w:hAnsi="Calibri" w:cs="黑体" w:hint="eastAsia"/>
          <w:color w:val="000000"/>
          <w:sz w:val="32"/>
          <w:szCs w:val="32"/>
        </w:rPr>
        <w:t>个人住</w:t>
      </w:r>
      <w:r>
        <w:rPr>
          <w:rFonts w:ascii="仿宋_GB2312" w:eastAsia="仿宋_GB2312" w:hAnsi="Calibri" w:cs="黑体" w:hint="eastAsia"/>
          <w:color w:val="000000"/>
          <w:sz w:val="32"/>
          <w:szCs w:val="32"/>
        </w:rPr>
        <w:lastRenderedPageBreak/>
        <w:t>房贷款（含贴息贷款）</w:t>
      </w:r>
      <w:r>
        <w:rPr>
          <w:rFonts w:ascii="仿宋_GB2312" w:eastAsia="仿宋_GB2312" w:hint="eastAsia"/>
          <w:sz w:val="32"/>
          <w:szCs w:val="32"/>
        </w:rPr>
        <w:t>达181.70亿元，支持职工购建住房约151.66万平方米，所购住房套数中新房占比80.60%，</w:t>
      </w:r>
      <w:r>
        <w:rPr>
          <w:rFonts w:ascii="仿宋_GB2312" w:eastAsia="仿宋_GB2312" w:hint="eastAsia"/>
          <w:bCs/>
          <w:sz w:val="32"/>
          <w:szCs w:val="32"/>
        </w:rPr>
        <w:t>住房贡献率为137.23%，同比上年</w:t>
      </w:r>
      <w:r>
        <w:rPr>
          <w:rFonts w:ascii="仿宋_GB2312" w:eastAsia="仿宋_GB2312" w:hint="eastAsia"/>
          <w:sz w:val="32"/>
          <w:szCs w:val="32"/>
        </w:rPr>
        <w:t>增加18.01个百分点，为“去库存、稳发展”作出了积极贡献，形成了良好的社会效益。</w:t>
      </w:r>
    </w:p>
    <w:p w:rsidR="00887B14" w:rsidRDefault="00CE6DF6" w:rsidP="00FD6915">
      <w:pPr>
        <w:ind w:firstLineChars="199" w:firstLine="639"/>
        <w:rPr>
          <w:rFonts w:ascii="黑体" w:eastAsia="黑体" w:hAnsi="黑体"/>
          <w:b/>
          <w:sz w:val="32"/>
          <w:szCs w:val="32"/>
        </w:rPr>
      </w:pPr>
      <w:r>
        <w:rPr>
          <w:rFonts w:ascii="黑体" w:eastAsia="黑体" w:hAnsi="黑体" w:hint="eastAsia"/>
          <w:b/>
          <w:sz w:val="32"/>
          <w:szCs w:val="32"/>
        </w:rPr>
        <w:t>五、住房公积金政策效应显现</w:t>
      </w:r>
    </w:p>
    <w:p w:rsidR="00887B14" w:rsidRDefault="00CE6DF6">
      <w:pPr>
        <w:spacing w:line="540" w:lineRule="exact"/>
        <w:ind w:firstLine="645"/>
        <w:rPr>
          <w:rFonts w:ascii="仿宋_GB2312" w:eastAsia="仿宋_GB2312" w:hAnsi="仿宋_GB2312" w:cs="Times New Roman"/>
          <w:sz w:val="32"/>
        </w:rPr>
      </w:pPr>
      <w:r>
        <w:rPr>
          <w:rFonts w:ascii="仿宋_GB2312" w:eastAsia="仿宋_GB2312" w:hAnsi="仿宋_GB2312" w:cs="Times New Roman" w:hint="eastAsia"/>
          <w:b/>
          <w:sz w:val="32"/>
        </w:rPr>
        <w:t>1、实行公积金风险动态调节机制。</w:t>
      </w:r>
      <w:r>
        <w:rPr>
          <w:rFonts w:ascii="仿宋_GB2312" w:eastAsia="仿宋_GB2312" w:hAnsi="仿宋_GB2312" w:cs="仿宋_GB2312" w:hint="eastAsia"/>
          <w:sz w:val="32"/>
          <w:szCs w:val="32"/>
        </w:rPr>
        <w:t>在积极支持“去库存”的同时，合理调节资金供求关系，通过对公积金贷款额度实行最高贷款限额与流动性系数双调节机制，开展公积金贴息贷款和贷款轮候制度，提高二次申请公积金贷款首付比例等方式</w:t>
      </w:r>
      <w:r>
        <w:rPr>
          <w:rFonts w:ascii="仿宋_GB2312" w:eastAsia="仿宋_GB2312" w:hAnsi="仿宋_GB2312" w:cs="Times New Roman" w:hint="eastAsia"/>
          <w:sz w:val="32"/>
        </w:rPr>
        <w:t>建立住房公积金风险动态调节机制，持续增长的</w:t>
      </w:r>
      <w:r>
        <w:rPr>
          <w:rFonts w:ascii="仿宋_GB2312" w:eastAsia="仿宋_GB2312" w:hAnsi="仿宋_GB2312" w:hint="eastAsia"/>
          <w:sz w:val="32"/>
        </w:rPr>
        <w:t>住房公积金个贷使用率得到了一定的控制，并有所下降，2016年末个人住房贷款率为100.76%，有效</w:t>
      </w:r>
      <w:r>
        <w:rPr>
          <w:rFonts w:ascii="仿宋_GB2312" w:eastAsia="仿宋_GB2312" w:hAnsi="仿宋_GB2312" w:cs="Times New Roman" w:hint="eastAsia"/>
          <w:sz w:val="32"/>
        </w:rPr>
        <w:t>缓解</w:t>
      </w:r>
      <w:r>
        <w:rPr>
          <w:rFonts w:ascii="仿宋_GB2312" w:eastAsia="仿宋_GB2312" w:hAnsi="仿宋_GB2312" w:hint="eastAsia"/>
          <w:sz w:val="32"/>
        </w:rPr>
        <w:t>了住房公积金流动性紧张状况</w:t>
      </w:r>
      <w:r>
        <w:rPr>
          <w:rFonts w:ascii="仿宋_GB2312" w:eastAsia="仿宋_GB2312" w:hAnsi="仿宋_GB2312" w:cs="Times New Roman" w:hint="eastAsia"/>
          <w:sz w:val="32"/>
        </w:rPr>
        <w:t>。</w:t>
      </w:r>
    </w:p>
    <w:p w:rsidR="00887B14" w:rsidRDefault="00CE6DF6">
      <w:pPr>
        <w:spacing w:line="540" w:lineRule="exact"/>
        <w:rPr>
          <w:rFonts w:ascii="仿宋_GB2312" w:eastAsia="仿宋_GB2312" w:hAnsi="仿宋_GB2312" w:cs="Times New Roman"/>
          <w:sz w:val="32"/>
        </w:rPr>
      </w:pPr>
      <w:r>
        <w:rPr>
          <w:rFonts w:ascii="仿宋_GB2312" w:eastAsia="仿宋_GB2312" w:hAnsi="宋体" w:cs="Times New Roman" w:hint="eastAsia"/>
          <w:b/>
          <w:sz w:val="32"/>
        </w:rPr>
        <w:t xml:space="preserve"> </w:t>
      </w:r>
      <w:r w:rsidR="00FD6915">
        <w:rPr>
          <w:rFonts w:ascii="仿宋_GB2312" w:eastAsia="仿宋_GB2312" w:hAnsi="宋体" w:cs="Times New Roman" w:hint="eastAsia"/>
          <w:b/>
          <w:sz w:val="32"/>
        </w:rPr>
        <w:t xml:space="preserve">  </w:t>
      </w:r>
      <w:r>
        <w:rPr>
          <w:rFonts w:ascii="仿宋_GB2312" w:eastAsia="仿宋_GB2312" w:hAnsi="宋体" w:cs="Times New Roman" w:hint="eastAsia"/>
          <w:b/>
          <w:sz w:val="32"/>
        </w:rPr>
        <w:t xml:space="preserve"> 2、规范和降低企业缴存比例。</w:t>
      </w:r>
      <w:r>
        <w:rPr>
          <w:rFonts w:ascii="仿宋_GB2312" w:eastAsia="仿宋_GB2312" w:hAnsi="宋体" w:cs="Times New Roman" w:hint="eastAsia"/>
          <w:sz w:val="32"/>
        </w:rPr>
        <w:t>将住房公积金缴存比例高于12%的，一律调整降低到12%。另外，经四个公积金管理机构集体研究，报经管委会审定并报省市政府审批发文同意，</w:t>
      </w:r>
      <w:r>
        <w:rPr>
          <w:rFonts w:ascii="仿宋_GB2312" w:eastAsia="仿宋_GB2312" w:hAnsi="Calibri" w:cs="Times New Roman" w:hint="eastAsia"/>
          <w:kern w:val="0"/>
          <w:sz w:val="32"/>
          <w:lang w:val="zh-CN"/>
        </w:rPr>
        <w:t>自2017年1月1日起，凡</w:t>
      </w:r>
      <w:r>
        <w:rPr>
          <w:rFonts w:ascii="仿宋_GB2312" w:eastAsia="仿宋_GB2312" w:hint="eastAsia"/>
          <w:kern w:val="0"/>
          <w:sz w:val="32"/>
          <w:lang w:val="zh-CN"/>
        </w:rPr>
        <w:t>福州</w:t>
      </w:r>
      <w:r>
        <w:rPr>
          <w:rFonts w:ascii="仿宋_GB2312" w:eastAsia="仿宋_GB2312" w:hAnsi="Calibri" w:cs="Times New Roman" w:hint="eastAsia"/>
          <w:kern w:val="0"/>
          <w:sz w:val="32"/>
          <w:lang w:val="zh-CN"/>
        </w:rPr>
        <w:t>市新办理住房公积金缴存登记的城镇集体企业、非公企业、民办非企业单位，其职工个人和单位住房公积金缴存比例可由原先规定的12%，调整为不低于5%至不高于12%的一定比例，具体比例由各单位根据自身实际确定。</w:t>
      </w:r>
      <w:r>
        <w:rPr>
          <w:rFonts w:ascii="仿宋_GB2312" w:eastAsia="仿宋_GB2312" w:hint="eastAsia"/>
          <w:kern w:val="0"/>
          <w:sz w:val="32"/>
          <w:lang w:val="zh-CN"/>
        </w:rPr>
        <w:t>缴存比例的规范和降低</w:t>
      </w:r>
      <w:r>
        <w:rPr>
          <w:rFonts w:ascii="仿宋_GB2312" w:eastAsia="仿宋_GB2312" w:hAnsi="宋体" w:hint="eastAsia"/>
          <w:sz w:val="32"/>
        </w:rPr>
        <w:t>进一步</w:t>
      </w:r>
      <w:r>
        <w:rPr>
          <w:rFonts w:ascii="仿宋_GB2312" w:eastAsia="仿宋_GB2312" w:hAnsi="宋体" w:cs="Times New Roman" w:hint="eastAsia"/>
          <w:sz w:val="32"/>
        </w:rPr>
        <w:t>减轻</w:t>
      </w:r>
      <w:r>
        <w:rPr>
          <w:rFonts w:ascii="仿宋_GB2312" w:eastAsia="仿宋_GB2312" w:hAnsi="宋体" w:hint="eastAsia"/>
          <w:sz w:val="32"/>
        </w:rPr>
        <w:t>了</w:t>
      </w:r>
      <w:r>
        <w:rPr>
          <w:rFonts w:ascii="仿宋_GB2312" w:eastAsia="仿宋_GB2312" w:hAnsi="宋体" w:cs="Times New Roman" w:hint="eastAsia"/>
          <w:sz w:val="32"/>
        </w:rPr>
        <w:t>企业负担，增强企业活力</w:t>
      </w:r>
      <w:r>
        <w:rPr>
          <w:rFonts w:ascii="仿宋_GB2312" w:eastAsia="仿宋_GB2312" w:hAnsi="宋体" w:hint="eastAsia"/>
          <w:sz w:val="32"/>
        </w:rPr>
        <w:t>。</w:t>
      </w:r>
    </w:p>
    <w:p w:rsidR="00887B14" w:rsidRDefault="00CE6DF6" w:rsidP="00FD6915">
      <w:pPr>
        <w:ind w:firstLineChars="200" w:firstLine="643"/>
        <w:rPr>
          <w:rFonts w:ascii="黑体" w:eastAsia="黑体" w:hAnsi="黑体"/>
          <w:b/>
          <w:sz w:val="32"/>
          <w:szCs w:val="32"/>
        </w:rPr>
      </w:pPr>
      <w:r>
        <w:rPr>
          <w:rFonts w:ascii="黑体" w:eastAsia="黑体" w:hAnsi="黑体" w:hint="eastAsia"/>
          <w:b/>
          <w:sz w:val="32"/>
          <w:szCs w:val="32"/>
        </w:rPr>
        <w:t>六、相关指标解释</w:t>
      </w:r>
    </w:p>
    <w:p w:rsidR="00887B14" w:rsidRDefault="00CE6DF6">
      <w:pPr>
        <w:adjustRightInd w:val="0"/>
        <w:snapToGrid w:val="0"/>
        <w:spacing w:line="360" w:lineRule="auto"/>
        <w:ind w:firstLineChars="196" w:firstLine="630"/>
        <w:rPr>
          <w:rFonts w:ascii="仿宋_GB2312" w:eastAsia="仿宋_GB2312" w:hAnsi="仿宋_GB2312" w:cs="Times New Roman"/>
          <w:sz w:val="32"/>
          <w:szCs w:val="32"/>
        </w:rPr>
      </w:pPr>
      <w:r>
        <w:rPr>
          <w:rFonts w:ascii="仿宋_GB2312" w:eastAsia="仿宋_GB2312" w:hAnsi="仿宋_GB2312" w:cs="Times New Roman" w:hint="eastAsia"/>
          <w:b/>
          <w:sz w:val="32"/>
          <w:szCs w:val="32"/>
        </w:rPr>
        <w:t>1、个人住房贷款率</w:t>
      </w:r>
      <w:r>
        <w:rPr>
          <w:rFonts w:ascii="仿宋_GB2312" w:eastAsia="仿宋_GB2312" w:hAnsi="仿宋_GB2312" w:cs="Times New Roman" w:hint="eastAsia"/>
          <w:sz w:val="32"/>
          <w:szCs w:val="32"/>
        </w:rPr>
        <w:t>：指年度末个人住房贷款余额占年</w:t>
      </w:r>
      <w:r>
        <w:rPr>
          <w:rFonts w:ascii="仿宋_GB2312" w:eastAsia="仿宋_GB2312" w:hAnsi="仿宋_GB2312" w:cs="Times New Roman" w:hint="eastAsia"/>
          <w:sz w:val="32"/>
          <w:szCs w:val="32"/>
        </w:rPr>
        <w:lastRenderedPageBreak/>
        <w:t>度末住房公积金缴存余额的比率。</w:t>
      </w:r>
    </w:p>
    <w:p w:rsidR="00887B14" w:rsidRDefault="00CE6DF6">
      <w:pPr>
        <w:adjustRightInd w:val="0"/>
        <w:snapToGrid w:val="0"/>
        <w:spacing w:line="360" w:lineRule="auto"/>
        <w:ind w:firstLineChars="196" w:firstLine="630"/>
        <w:rPr>
          <w:rFonts w:ascii="仿宋_GB2312" w:eastAsia="仿宋_GB2312" w:hAnsi="仿宋_GB2312" w:cs="Times New Roman"/>
          <w:sz w:val="32"/>
          <w:szCs w:val="32"/>
          <w:u w:val="single"/>
        </w:rPr>
      </w:pPr>
      <w:r>
        <w:rPr>
          <w:rFonts w:ascii="仿宋_GB2312" w:eastAsia="仿宋_GB2312" w:hAnsi="仿宋_GB2312" w:cs="Times New Roman" w:hint="eastAsia"/>
          <w:b/>
          <w:bCs/>
          <w:sz w:val="32"/>
          <w:szCs w:val="32"/>
        </w:rPr>
        <w:t>2、个人住房贷款市场占有率：</w:t>
      </w:r>
      <w:r>
        <w:rPr>
          <w:rFonts w:ascii="仿宋_GB2312" w:eastAsia="仿宋_GB2312" w:hAnsi="仿宋_GB2312" w:cs="Times New Roman" w:hint="eastAsia"/>
          <w:sz w:val="32"/>
          <w:szCs w:val="32"/>
        </w:rPr>
        <w:t>指年度末住房公积金个人住房贷款余额占当地商业性和住房公积金个人住房贷款余额总和的比率。</w:t>
      </w:r>
    </w:p>
    <w:p w:rsidR="00887B14" w:rsidRDefault="00CE6DF6">
      <w:pPr>
        <w:adjustRightInd w:val="0"/>
        <w:snapToGrid w:val="0"/>
        <w:spacing w:line="360" w:lineRule="auto"/>
        <w:ind w:firstLineChars="196" w:firstLine="630"/>
        <w:rPr>
          <w:rFonts w:ascii="仿宋_GB2312" w:eastAsia="仿宋_GB2312" w:hAnsi="仿宋_GB2312" w:cs="Times New Roman"/>
          <w:sz w:val="32"/>
          <w:szCs w:val="32"/>
          <w:u w:val="single"/>
        </w:rPr>
      </w:pPr>
      <w:r>
        <w:rPr>
          <w:rFonts w:ascii="仿宋_GB2312" w:eastAsia="仿宋_GB2312" w:hAnsi="仿宋_GB2312" w:cs="Times New Roman" w:hint="eastAsia"/>
          <w:b/>
          <w:sz w:val="32"/>
          <w:szCs w:val="32"/>
        </w:rPr>
        <w:t>3、当年融资额：</w:t>
      </w:r>
      <w:r>
        <w:rPr>
          <w:rFonts w:ascii="仿宋_GB2312" w:eastAsia="仿宋_GB2312" w:hAnsi="仿宋_GB2312" w:cs="Times New Roman" w:hint="eastAsia"/>
          <w:sz w:val="32"/>
          <w:szCs w:val="32"/>
        </w:rPr>
        <w:t>指当年为保证住房公积金资金运行所筹集的非住房公积金的各种资金金额，包括使用风险准备金、当地财政资金、其他住房资金、银行授信融资、个人住房贷款不出表的资产证券化融资、跨城市调剂资金等。</w:t>
      </w:r>
    </w:p>
    <w:p w:rsidR="00887B14" w:rsidRDefault="00CE6DF6">
      <w:pPr>
        <w:ind w:firstLineChars="146" w:firstLine="469"/>
        <w:rPr>
          <w:rFonts w:ascii="仿宋_GB2312" w:eastAsia="仿宋_GB2312" w:hAnsi="仿宋_GB2312" w:cs="Times New Roman"/>
          <w:sz w:val="32"/>
          <w:szCs w:val="32"/>
        </w:rPr>
      </w:pPr>
      <w:r>
        <w:rPr>
          <w:rFonts w:ascii="仿宋_GB2312" w:eastAsia="仿宋_GB2312" w:hAnsi="仿宋_GB2312" w:cs="Times New Roman" w:hint="eastAsia"/>
          <w:b/>
          <w:color w:val="000000"/>
          <w:sz w:val="32"/>
          <w:szCs w:val="32"/>
        </w:rPr>
        <w:t>4、资金运用率：</w:t>
      </w:r>
      <w:r>
        <w:rPr>
          <w:rFonts w:ascii="仿宋_GB2312" w:eastAsia="仿宋_GB2312" w:hAnsi="仿宋_GB2312" w:cs="Times New Roman" w:hint="eastAsia"/>
          <w:bCs/>
          <w:color w:val="000000"/>
          <w:sz w:val="32"/>
          <w:szCs w:val="32"/>
        </w:rPr>
        <w:t>指住房公积金个人住房贷款余额、项目贷款余额和购买国债余额的总和与缴存余额的比率。</w:t>
      </w:r>
      <w:r>
        <w:rPr>
          <w:rFonts w:ascii="仿宋_GB2312" w:eastAsia="仿宋_GB2312" w:hAnsi="仿宋_GB2312" w:cs="Times New Roman" w:hint="eastAsia"/>
          <w:bCs/>
          <w:color w:val="000000"/>
          <w:sz w:val="32"/>
          <w:szCs w:val="32"/>
        </w:rPr>
        <w:br/>
      </w:r>
      <w:r>
        <w:rPr>
          <w:rFonts w:ascii="仿宋_GB2312" w:eastAsia="仿宋_GB2312" w:hAnsi="仿宋_GB2312" w:cs="Times New Roman" w:hint="eastAsia"/>
          <w:b/>
          <w:color w:val="000000"/>
          <w:sz w:val="32"/>
          <w:szCs w:val="32"/>
        </w:rPr>
        <w:t xml:space="preserve">   5、住房贡献率：</w:t>
      </w:r>
      <w:r>
        <w:rPr>
          <w:rFonts w:ascii="仿宋_GB2312" w:eastAsia="仿宋_GB2312" w:hAnsi="仿宋_GB2312" w:cs="Times New Roman" w:hint="eastAsia"/>
          <w:bCs/>
          <w:color w:val="000000"/>
          <w:sz w:val="32"/>
          <w:szCs w:val="32"/>
        </w:rPr>
        <w:t>指当年个人住房贷款发放额、公转商贴息贷款发放额、项目贷款发放额、住房消费提取额的总和与当年缴存额的比率。</w:t>
      </w:r>
    </w:p>
    <w:p w:rsidR="00887B14" w:rsidRDefault="00CE6DF6" w:rsidP="00FD6915">
      <w:pPr>
        <w:adjustRightInd w:val="0"/>
        <w:snapToGrid w:val="0"/>
        <w:spacing w:line="360" w:lineRule="auto"/>
        <w:ind w:firstLineChars="146" w:firstLine="469"/>
        <w:rPr>
          <w:rFonts w:ascii="仿宋_GB2312" w:eastAsia="仿宋_GB2312" w:hAnsi="仿宋_GB2312" w:cs="Times New Roman"/>
          <w:bCs/>
          <w:color w:val="000000"/>
          <w:sz w:val="32"/>
          <w:szCs w:val="32"/>
        </w:rPr>
      </w:pPr>
      <w:r>
        <w:rPr>
          <w:rFonts w:ascii="仿宋_GB2312" w:eastAsia="仿宋_GB2312" w:hAnsi="仿宋_GB2312" w:cs="Times New Roman" w:hint="eastAsia"/>
          <w:b/>
          <w:color w:val="000000"/>
          <w:sz w:val="32"/>
          <w:szCs w:val="32"/>
        </w:rPr>
        <w:t>6、增值收益率：</w:t>
      </w:r>
      <w:r>
        <w:rPr>
          <w:rFonts w:ascii="仿宋_GB2312" w:eastAsia="仿宋_GB2312" w:hAnsi="仿宋_GB2312" w:cs="Times New Roman" w:hint="eastAsia"/>
          <w:bCs/>
          <w:color w:val="000000"/>
          <w:sz w:val="32"/>
          <w:szCs w:val="32"/>
        </w:rPr>
        <w:t>指增值收益与月均缴存余额的比率。月均缴存余额指当年内各月末住房公积金累计缴存余额之和除以12。</w:t>
      </w:r>
    </w:p>
    <w:p w:rsidR="00887B14" w:rsidRDefault="00CE6DF6">
      <w:pPr>
        <w:adjustRightInd w:val="0"/>
        <w:snapToGrid w:val="0"/>
        <w:spacing w:line="360" w:lineRule="auto"/>
        <w:ind w:firstLineChars="147" w:firstLine="472"/>
        <w:rPr>
          <w:rFonts w:ascii="仿宋_GB2312" w:eastAsia="仿宋_GB2312" w:hAnsi="仿宋_GB2312" w:cs="Times New Roman"/>
          <w:sz w:val="32"/>
          <w:szCs w:val="32"/>
        </w:rPr>
      </w:pPr>
      <w:r>
        <w:rPr>
          <w:rFonts w:ascii="仿宋_GB2312" w:eastAsia="仿宋_GB2312" w:hAnsi="仿宋_GB2312" w:cs="Times New Roman" w:hint="eastAsia"/>
          <w:b/>
          <w:sz w:val="32"/>
          <w:szCs w:val="32"/>
        </w:rPr>
        <w:t>7、个人住房贷款逾期率</w:t>
      </w:r>
      <w:r>
        <w:rPr>
          <w:rFonts w:ascii="仿宋_GB2312" w:eastAsia="仿宋_GB2312" w:hAnsi="仿宋_GB2312" w:cs="Times New Roman" w:hint="eastAsia"/>
          <w:sz w:val="32"/>
          <w:szCs w:val="32"/>
        </w:rPr>
        <w:t>：指个人住房贷款逾期额占个人住房贷款余额的比率。</w:t>
      </w:r>
    </w:p>
    <w:p w:rsidR="00887B14" w:rsidRDefault="00CE6DF6">
      <w:pPr>
        <w:ind w:firstLineChars="147" w:firstLine="472"/>
        <w:rPr>
          <w:rFonts w:ascii="仿宋_GB2312" w:eastAsia="仿宋_GB2312" w:hAnsi="仿宋_GB2312" w:cs="Times New Roman"/>
          <w:color w:val="000000"/>
          <w:sz w:val="32"/>
          <w:szCs w:val="32"/>
        </w:rPr>
      </w:pPr>
      <w:r>
        <w:rPr>
          <w:rFonts w:ascii="仿宋_GB2312" w:eastAsia="仿宋_GB2312" w:hAnsi="仿宋_GB2312" w:cs="Times New Roman" w:hint="eastAsia"/>
          <w:b/>
          <w:bCs/>
          <w:color w:val="000000"/>
          <w:sz w:val="32"/>
          <w:szCs w:val="32"/>
        </w:rPr>
        <w:t>8、可节约职工购房利息支出：</w:t>
      </w:r>
      <w:r>
        <w:rPr>
          <w:rFonts w:ascii="仿宋_GB2312" w:eastAsia="仿宋_GB2312" w:hAnsi="仿宋_GB2312" w:cs="Times New Roman" w:hint="eastAsia"/>
          <w:color w:val="000000"/>
          <w:sz w:val="32"/>
          <w:szCs w:val="32"/>
        </w:rPr>
        <w:t>指当年获得住房公积金个人住房贷款的职工所需支付贷款利息总额与申请商业性个人住房贷款所需支付贷款利息总额的差额。商业性个人住房贷款利率按基准利率计算。</w:t>
      </w:r>
    </w:p>
    <w:p w:rsidR="00887B14" w:rsidRDefault="00CE6DF6">
      <w:pPr>
        <w:ind w:firstLineChars="147" w:firstLine="472"/>
        <w:rPr>
          <w:rFonts w:ascii="仿宋_GB2312" w:eastAsia="仿宋_GB2312" w:hAnsi="仿宋_GB2312" w:cs="Times New Roman"/>
          <w:sz w:val="32"/>
        </w:rPr>
      </w:pPr>
      <w:r>
        <w:rPr>
          <w:rFonts w:ascii="仿宋_GB2312" w:eastAsia="仿宋_GB2312" w:hAnsi="仿宋_GB2312" w:cs="Times New Roman" w:hint="eastAsia"/>
          <w:b/>
          <w:bCs/>
          <w:color w:val="000000"/>
          <w:sz w:val="32"/>
          <w:szCs w:val="32"/>
        </w:rPr>
        <w:lastRenderedPageBreak/>
        <w:t>9、缴存、贷款职工按收入水平分类：</w:t>
      </w:r>
      <w:r>
        <w:rPr>
          <w:rFonts w:ascii="仿宋_GB2312" w:eastAsia="仿宋_GB2312" w:hAnsi="仿宋_GB2312" w:cs="Times New Roman" w:hint="eastAsia"/>
          <w:sz w:val="32"/>
        </w:rPr>
        <w:t>低收入指收入低于上年当地社会平均工资，中等收入指收入介于上年当地社会平均工资1倍（含）-3倍之间，高收入指收入高于上年当地社会平均工资3倍（含）。</w:t>
      </w:r>
    </w:p>
    <w:p w:rsidR="00887B14" w:rsidRDefault="00CE6DF6">
      <w:pPr>
        <w:ind w:firstLineChars="146" w:firstLine="469"/>
        <w:rPr>
          <w:rFonts w:ascii="仿宋_GB2312" w:eastAsia="仿宋_GB2312" w:hAnsi="仿宋_GB2312" w:cs="Times New Roman"/>
          <w:bCs/>
          <w:color w:val="000000"/>
          <w:sz w:val="32"/>
          <w:szCs w:val="32"/>
        </w:rPr>
      </w:pPr>
      <w:r>
        <w:rPr>
          <w:rFonts w:ascii="仿宋_GB2312" w:eastAsia="仿宋_GB2312" w:hAnsi="仿宋_GB2312" w:cs="Times New Roman" w:hint="eastAsia"/>
          <w:b/>
          <w:bCs/>
          <w:color w:val="000000"/>
          <w:sz w:val="32"/>
          <w:szCs w:val="32"/>
        </w:rPr>
        <w:t>10、公转商贴息贷款：</w:t>
      </w:r>
      <w:r>
        <w:rPr>
          <w:rFonts w:ascii="仿宋_GB2312" w:eastAsia="仿宋_GB2312" w:hAnsi="仿宋_GB2312" w:cs="Times New Roman" w:hint="eastAsia"/>
          <w:bCs/>
          <w:color w:val="000000"/>
          <w:sz w:val="32"/>
          <w:szCs w:val="32"/>
        </w:rPr>
        <w:t>指在住房公积金资金流动性出现紧张时，将符合公积金贷款和商业银行贷款要求的住房公积金贷款转由受托银行按照公积金贷款利率发放商业性个人住房贷款，因商业贷款利率和住房公积金贷款利率不同产生的利息差由公积金中心向受托银行补贴的贷款方式。</w:t>
      </w:r>
    </w:p>
    <w:p w:rsidR="00887B14" w:rsidRDefault="00CE6DF6">
      <w:pPr>
        <w:ind w:firstLineChars="147" w:firstLine="472"/>
        <w:rPr>
          <w:rFonts w:ascii="仿宋_GB2312" w:eastAsia="仿宋_GB2312" w:hAnsi="仿宋_GB2312" w:cs="仿宋_GB2312"/>
          <w:sz w:val="32"/>
          <w:szCs w:val="32"/>
        </w:rPr>
      </w:pPr>
      <w:r>
        <w:rPr>
          <w:rFonts w:ascii="仿宋_GB2312" w:eastAsia="仿宋_GB2312" w:hAnsi="仿宋_GB2312" w:cs="Times New Roman" w:hint="eastAsia"/>
          <w:b/>
          <w:bCs/>
          <w:color w:val="000000"/>
          <w:sz w:val="32"/>
          <w:szCs w:val="32"/>
        </w:rPr>
        <w:t>11、当年贴息额：</w:t>
      </w:r>
      <w:r>
        <w:rPr>
          <w:rFonts w:ascii="仿宋_GB2312" w:eastAsia="仿宋_GB2312" w:hAnsi="仿宋_GB2312" w:cs="Times New Roman" w:hint="eastAsia"/>
          <w:sz w:val="32"/>
          <w:szCs w:val="32"/>
        </w:rPr>
        <w:t>指为以前年度发放和本年度发放的贴息贷款，在本年度内支付</w:t>
      </w:r>
      <w:r>
        <w:rPr>
          <w:rFonts w:ascii="仿宋_GB2312" w:eastAsia="仿宋_GB2312" w:hAnsi="仿宋_GB2312" w:cs="仿宋_GB2312" w:hint="eastAsia"/>
          <w:sz w:val="32"/>
          <w:szCs w:val="32"/>
        </w:rPr>
        <w:t>的贴息金额。</w:t>
      </w:r>
    </w:p>
    <w:p w:rsidR="00887B14" w:rsidRDefault="00CE6DF6">
      <w:pPr>
        <w:ind w:firstLineChars="147" w:firstLine="472"/>
        <w:rPr>
          <w:rFonts w:ascii="仿宋_GB2312" w:eastAsia="仿宋_GB2312"/>
          <w:sz w:val="32"/>
          <w:szCs w:val="32"/>
        </w:rPr>
      </w:pPr>
      <w:r>
        <w:rPr>
          <w:rFonts w:ascii="仿宋_GB2312" w:eastAsia="仿宋_GB2312" w:hAnsi="仿宋_GB2312" w:cs="仿宋_GB2312" w:hint="eastAsia"/>
          <w:b/>
          <w:bCs/>
          <w:sz w:val="32"/>
          <w:szCs w:val="32"/>
        </w:rPr>
        <w:t>12、异地贷款：</w:t>
      </w:r>
      <w:r>
        <w:rPr>
          <w:rFonts w:ascii="仿宋_GB2312" w:eastAsia="仿宋_GB2312" w:hAnsi="仿宋_GB2312" w:cs="仿宋_GB2312" w:hint="eastAsia"/>
          <w:sz w:val="32"/>
          <w:szCs w:val="32"/>
        </w:rPr>
        <w:t>指缴存和购房行为不在同一城市的住房公积金个人住房贷款，包括用本市资金为在本市购房的外地缴存职工发放的贷款以及用本市资金为在外地购房的本市缴存职工发放的贷款。</w:t>
      </w:r>
    </w:p>
    <w:p w:rsidR="00887B14" w:rsidRDefault="00887B14">
      <w:pPr>
        <w:rPr>
          <w:rFonts w:ascii="仿宋_GB2312" w:eastAsia="仿宋_GB2312"/>
          <w:sz w:val="32"/>
          <w:szCs w:val="32"/>
        </w:rPr>
      </w:pPr>
    </w:p>
    <w:sectPr w:rsidR="00887B14" w:rsidSect="00887B14">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0505" w:rsidRDefault="00BA0505" w:rsidP="00887B14">
      <w:r>
        <w:separator/>
      </w:r>
    </w:p>
  </w:endnote>
  <w:endnote w:type="continuationSeparator" w:id="1">
    <w:p w:rsidR="00BA0505" w:rsidRDefault="00BA0505" w:rsidP="00887B1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73211"/>
    </w:sdtPr>
    <w:sdtContent>
      <w:p w:rsidR="00887B14" w:rsidRDefault="00216F37">
        <w:pPr>
          <w:pStyle w:val="a3"/>
          <w:jc w:val="center"/>
        </w:pPr>
        <w:r w:rsidRPr="00216F37">
          <w:fldChar w:fldCharType="begin"/>
        </w:r>
        <w:r w:rsidR="00CE6DF6">
          <w:instrText xml:space="preserve"> PAGE   \* MERGEFORMAT </w:instrText>
        </w:r>
        <w:r w:rsidRPr="00216F37">
          <w:fldChar w:fldCharType="separate"/>
        </w:r>
        <w:r w:rsidR="00F47303" w:rsidRPr="00F47303">
          <w:rPr>
            <w:noProof/>
            <w:lang w:val="zh-CN"/>
          </w:rPr>
          <w:t>1</w:t>
        </w:r>
        <w:r>
          <w:rPr>
            <w:lang w:val="zh-CN"/>
          </w:rPr>
          <w:fldChar w:fldCharType="end"/>
        </w:r>
      </w:p>
    </w:sdtContent>
  </w:sdt>
  <w:p w:rsidR="00887B14" w:rsidRDefault="00887B14">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0505" w:rsidRDefault="00BA0505" w:rsidP="00887B14">
      <w:r>
        <w:separator/>
      </w:r>
    </w:p>
  </w:footnote>
  <w:footnote w:type="continuationSeparator" w:id="1">
    <w:p w:rsidR="00BA0505" w:rsidRDefault="00BA0505" w:rsidP="00887B1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01A4E"/>
    <w:rsid w:val="000145EA"/>
    <w:rsid w:val="00020A53"/>
    <w:rsid w:val="00037234"/>
    <w:rsid w:val="00067476"/>
    <w:rsid w:val="00072096"/>
    <w:rsid w:val="000F354B"/>
    <w:rsid w:val="00101A4E"/>
    <w:rsid w:val="00110821"/>
    <w:rsid w:val="00116519"/>
    <w:rsid w:val="00120F44"/>
    <w:rsid w:val="001A0B3F"/>
    <w:rsid w:val="001D2DCE"/>
    <w:rsid w:val="001F1322"/>
    <w:rsid w:val="0021431A"/>
    <w:rsid w:val="00216F37"/>
    <w:rsid w:val="002566D9"/>
    <w:rsid w:val="002B5BAF"/>
    <w:rsid w:val="00366F5E"/>
    <w:rsid w:val="00387593"/>
    <w:rsid w:val="00395047"/>
    <w:rsid w:val="003A657C"/>
    <w:rsid w:val="003C5BA7"/>
    <w:rsid w:val="00407E68"/>
    <w:rsid w:val="00472EA6"/>
    <w:rsid w:val="00481F13"/>
    <w:rsid w:val="0049711D"/>
    <w:rsid w:val="004D1462"/>
    <w:rsid w:val="00512285"/>
    <w:rsid w:val="005B4FA1"/>
    <w:rsid w:val="005C6CB7"/>
    <w:rsid w:val="005F64F6"/>
    <w:rsid w:val="00610FC1"/>
    <w:rsid w:val="006722B5"/>
    <w:rsid w:val="006A0DD1"/>
    <w:rsid w:val="007A52E8"/>
    <w:rsid w:val="007A7230"/>
    <w:rsid w:val="007B05E7"/>
    <w:rsid w:val="007D6F7A"/>
    <w:rsid w:val="007E6DF7"/>
    <w:rsid w:val="007F4BA9"/>
    <w:rsid w:val="00804490"/>
    <w:rsid w:val="00817F2A"/>
    <w:rsid w:val="00846526"/>
    <w:rsid w:val="008468CA"/>
    <w:rsid w:val="00881F43"/>
    <w:rsid w:val="00887B14"/>
    <w:rsid w:val="008958BD"/>
    <w:rsid w:val="008F014D"/>
    <w:rsid w:val="00935E11"/>
    <w:rsid w:val="009B2D9C"/>
    <w:rsid w:val="00A71B61"/>
    <w:rsid w:val="00AF3B6C"/>
    <w:rsid w:val="00B15D47"/>
    <w:rsid w:val="00B51AF0"/>
    <w:rsid w:val="00B82968"/>
    <w:rsid w:val="00B978AC"/>
    <w:rsid w:val="00BA0505"/>
    <w:rsid w:val="00BA2D7B"/>
    <w:rsid w:val="00C06F0E"/>
    <w:rsid w:val="00C2727D"/>
    <w:rsid w:val="00CA1532"/>
    <w:rsid w:val="00CE6DF6"/>
    <w:rsid w:val="00CE6FA5"/>
    <w:rsid w:val="00D4338C"/>
    <w:rsid w:val="00D43697"/>
    <w:rsid w:val="00D67A52"/>
    <w:rsid w:val="00D7551B"/>
    <w:rsid w:val="00DC6C99"/>
    <w:rsid w:val="00DF0114"/>
    <w:rsid w:val="00E031D2"/>
    <w:rsid w:val="00E426ED"/>
    <w:rsid w:val="00E91941"/>
    <w:rsid w:val="00EB2692"/>
    <w:rsid w:val="00EE1D76"/>
    <w:rsid w:val="00F47303"/>
    <w:rsid w:val="00F91C93"/>
    <w:rsid w:val="00FC1E05"/>
    <w:rsid w:val="00FC507A"/>
    <w:rsid w:val="00FD58B1"/>
    <w:rsid w:val="00FD6915"/>
    <w:rsid w:val="088675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7B14"/>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887B14"/>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887B1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887B14"/>
    <w:rPr>
      <w:sz w:val="18"/>
      <w:szCs w:val="18"/>
    </w:rPr>
  </w:style>
  <w:style w:type="character" w:customStyle="1" w:styleId="Char">
    <w:name w:val="页脚 Char"/>
    <w:basedOn w:val="a0"/>
    <w:link w:val="a3"/>
    <w:uiPriority w:val="99"/>
    <w:rsid w:val="00887B14"/>
    <w:rPr>
      <w:sz w:val="18"/>
      <w:szCs w:val="18"/>
    </w:rPr>
  </w:style>
  <w:style w:type="paragraph" w:customStyle="1" w:styleId="Char1">
    <w:name w:val="Char"/>
    <w:basedOn w:val="a"/>
    <w:qFormat/>
    <w:rsid w:val="00887B14"/>
    <w:rPr>
      <w:rFonts w:ascii="Times New Roman" w:eastAsia="宋体" w:hAnsi="Times New Roman" w:cs="Times New Roman"/>
      <w:szCs w:val="24"/>
    </w:rPr>
  </w:style>
  <w:style w:type="paragraph" w:styleId="a5">
    <w:name w:val="Balloon Text"/>
    <w:basedOn w:val="a"/>
    <w:link w:val="Char2"/>
    <w:uiPriority w:val="99"/>
    <w:semiHidden/>
    <w:unhideWhenUsed/>
    <w:rsid w:val="00FD6915"/>
    <w:rPr>
      <w:sz w:val="18"/>
      <w:szCs w:val="18"/>
    </w:rPr>
  </w:style>
  <w:style w:type="character" w:customStyle="1" w:styleId="Char2">
    <w:name w:val="批注框文本 Char"/>
    <w:basedOn w:val="a0"/>
    <w:link w:val="a5"/>
    <w:uiPriority w:val="99"/>
    <w:semiHidden/>
    <w:rsid w:val="00FD6915"/>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35865F63-E34E-4DC8-A377-1DCCCAB7FFA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7</Pages>
  <Words>534</Words>
  <Characters>3045</Characters>
  <Application>Microsoft Office Word</Application>
  <DocSecurity>0</DocSecurity>
  <Lines>25</Lines>
  <Paragraphs>7</Paragraphs>
  <ScaleCrop>false</ScaleCrop>
  <Company>Sky123.Org</Company>
  <LinksUpToDate>false</LinksUpToDate>
  <CharactersWithSpaces>3572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2017-03-15T09:05:00Z</cp:lastPrinted>
  <dcterms:created xsi:type="dcterms:W3CDTF">2017-03-15T08:01:00Z</dcterms:created>
  <dcterms:modified xsi:type="dcterms:W3CDTF">2017-03-29T02:27:00Z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