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hint="eastAsia" w:ascii="方正小标宋简体" w:hAnsi="华文中宋" w:eastAsia="方正小标宋简体"/>
          <w:sz w:val="44"/>
          <w:szCs w:val="44"/>
        </w:rPr>
      </w:pPr>
      <w:bookmarkStart w:id="0" w:name="_GoBack"/>
      <w:bookmarkEnd w:id="0"/>
      <w:r>
        <w:rPr>
          <w:rFonts w:hint="eastAsia" w:ascii="方正小标宋简体" w:hAnsi="华文中宋" w:eastAsia="方正小标宋简体"/>
          <w:sz w:val="44"/>
          <w:szCs w:val="44"/>
        </w:rPr>
        <w:t>福州市中心城区公租房保障家庭动态申报信息表</w:t>
      </w:r>
    </w:p>
    <w:tbl>
      <w:tblPr>
        <w:tblStyle w:val="6"/>
        <w:tblpPr w:leftFromText="180" w:rightFromText="180" w:vertAnchor="text" w:horzAnchor="page" w:tblpXSpec="center" w:tblpY="232"/>
        <w:tblW w:w="1578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5"/>
        <w:gridCol w:w="986"/>
        <w:gridCol w:w="240"/>
        <w:gridCol w:w="285"/>
        <w:gridCol w:w="240"/>
        <w:gridCol w:w="236"/>
        <w:gridCol w:w="236"/>
        <w:gridCol w:w="240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85"/>
        <w:gridCol w:w="709"/>
        <w:gridCol w:w="709"/>
        <w:gridCol w:w="709"/>
        <w:gridCol w:w="709"/>
        <w:gridCol w:w="709"/>
        <w:gridCol w:w="445"/>
        <w:gridCol w:w="1066"/>
        <w:gridCol w:w="1117"/>
        <w:gridCol w:w="1467"/>
        <w:gridCol w:w="883"/>
        <w:gridCol w:w="12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1" w:hRule="atLeast"/>
          <w:jc w:val="center"/>
        </w:trPr>
        <w:tc>
          <w:tcPr>
            <w:tcW w:w="68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/>
                <w:b/>
                <w:sz w:val="24"/>
              </w:rPr>
            </w:pPr>
            <w:r>
              <w:rPr>
                <w:rFonts w:hint="eastAsia" w:ascii="仿宋_GB2312" w:hAnsi="宋体"/>
                <w:b/>
                <w:sz w:val="24"/>
              </w:rPr>
              <w:t>家庭成员</w:t>
            </w:r>
          </w:p>
        </w:tc>
        <w:tc>
          <w:tcPr>
            <w:tcW w:w="986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/>
                <w:b/>
                <w:sz w:val="24"/>
              </w:rPr>
            </w:pPr>
            <w:r>
              <w:rPr>
                <w:rFonts w:hint="eastAsia" w:ascii="仿宋_GB2312"/>
                <w:b/>
                <w:sz w:val="24"/>
              </w:rPr>
              <w:t>姓 名</w:t>
            </w:r>
          </w:p>
        </w:tc>
        <w:tc>
          <w:tcPr>
            <w:tcW w:w="4358" w:type="dxa"/>
            <w:gridSpan w:val="18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/>
                <w:b/>
                <w:sz w:val="24"/>
              </w:rPr>
            </w:pPr>
            <w:r>
              <w:rPr>
                <w:rFonts w:hint="eastAsia" w:ascii="仿宋_GB2312"/>
                <w:b/>
                <w:sz w:val="24"/>
              </w:rPr>
              <w:t>身 份 证 号 码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spacing w:line="300" w:lineRule="exact"/>
              <w:rPr>
                <w:rFonts w:ascii="仿宋_GB2312"/>
                <w:b/>
                <w:sz w:val="24"/>
              </w:rPr>
            </w:pPr>
            <w:r>
              <w:rPr>
                <w:rFonts w:hint="eastAsia" w:ascii="仿宋_GB2312"/>
                <w:b/>
                <w:sz w:val="24"/>
              </w:rPr>
              <w:t>新增/减员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spacing w:line="300" w:lineRule="exact"/>
              <w:rPr>
                <w:rFonts w:ascii="仿宋_GB2312"/>
                <w:b/>
                <w:sz w:val="24"/>
              </w:rPr>
            </w:pPr>
            <w:r>
              <w:rPr>
                <w:rFonts w:hint="eastAsia" w:ascii="仿宋_GB2312"/>
                <w:b/>
                <w:sz w:val="24"/>
              </w:rPr>
              <w:t>变化 原因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spacing w:line="300" w:lineRule="exact"/>
              <w:rPr>
                <w:rFonts w:hint="eastAsia" w:ascii="仿宋_GB2312"/>
                <w:b/>
                <w:sz w:val="24"/>
              </w:rPr>
            </w:pPr>
            <w:r>
              <w:rPr>
                <w:rFonts w:hint="eastAsia" w:ascii="仿宋_GB2312"/>
                <w:b/>
                <w:sz w:val="24"/>
              </w:rPr>
              <w:t>是否兜底保障对象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spacing w:line="300" w:lineRule="exact"/>
              <w:rPr>
                <w:rFonts w:hint="eastAsia" w:ascii="仿宋_GB2312"/>
                <w:b/>
                <w:sz w:val="24"/>
              </w:rPr>
            </w:pPr>
            <w:r>
              <w:rPr>
                <w:rFonts w:hint="eastAsia" w:ascii="仿宋_GB2312"/>
                <w:b/>
                <w:sz w:val="24"/>
              </w:rPr>
              <w:t>婚姻状况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spacing w:line="300" w:lineRule="exact"/>
              <w:rPr>
                <w:rFonts w:ascii="仿宋_GB2312"/>
                <w:b/>
                <w:sz w:val="24"/>
              </w:rPr>
            </w:pPr>
            <w:r>
              <w:rPr>
                <w:rFonts w:hint="eastAsia" w:ascii="仿宋_GB2312"/>
                <w:b/>
                <w:sz w:val="24"/>
              </w:rPr>
              <w:t>文化程度</w:t>
            </w:r>
          </w:p>
        </w:tc>
        <w:tc>
          <w:tcPr>
            <w:tcW w:w="445" w:type="dxa"/>
            <w:noWrap w:val="0"/>
            <w:vAlign w:val="center"/>
          </w:tcPr>
          <w:p>
            <w:pPr>
              <w:spacing w:line="300" w:lineRule="exact"/>
              <w:rPr>
                <w:rFonts w:hint="eastAsia" w:ascii="仿宋_GB2312"/>
                <w:b/>
                <w:sz w:val="24"/>
              </w:rPr>
            </w:pPr>
            <w:r>
              <w:rPr>
                <w:rFonts w:hint="eastAsia" w:ascii="仿宋_GB2312"/>
                <w:b/>
                <w:sz w:val="24"/>
              </w:rPr>
              <w:t>民族</w:t>
            </w:r>
          </w:p>
        </w:tc>
        <w:tc>
          <w:tcPr>
            <w:tcW w:w="1066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/>
                <w:b/>
                <w:sz w:val="24"/>
              </w:rPr>
            </w:pPr>
            <w:r>
              <w:rPr>
                <w:rFonts w:hint="eastAsia" w:ascii="仿宋_GB2312"/>
                <w:b/>
                <w:sz w:val="24"/>
              </w:rPr>
              <w:t>户 籍 所 在 地</w:t>
            </w:r>
            <w:r>
              <w:rPr>
                <w:rFonts w:hint="eastAsia" w:ascii="仿宋_GB2312"/>
                <w:b/>
                <w:szCs w:val="21"/>
              </w:rPr>
              <w:t>（注明市、区）</w:t>
            </w:r>
          </w:p>
        </w:tc>
        <w:tc>
          <w:tcPr>
            <w:tcW w:w="1117" w:type="dxa"/>
            <w:noWrap w:val="0"/>
            <w:vAlign w:val="center"/>
          </w:tcPr>
          <w:p>
            <w:pPr>
              <w:spacing w:line="300" w:lineRule="exact"/>
              <w:rPr>
                <w:rFonts w:hint="eastAsia" w:ascii="仿宋_GB2312"/>
                <w:b/>
                <w:sz w:val="24"/>
              </w:rPr>
            </w:pPr>
            <w:r>
              <w:rPr>
                <w:rFonts w:hint="eastAsia" w:ascii="仿宋_GB2312"/>
                <w:b/>
                <w:sz w:val="24"/>
              </w:rPr>
              <w:t>所属群体（申报提示所注类别选填）</w:t>
            </w:r>
          </w:p>
        </w:tc>
        <w:tc>
          <w:tcPr>
            <w:tcW w:w="1467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/>
                <w:b/>
                <w:sz w:val="24"/>
              </w:rPr>
            </w:pPr>
            <w:r>
              <w:rPr>
                <w:rFonts w:hint="eastAsia" w:ascii="仿宋_GB2312"/>
                <w:b/>
                <w:sz w:val="24"/>
              </w:rPr>
              <w:t>工作(学习)</w:t>
            </w:r>
          </w:p>
          <w:p>
            <w:pPr>
              <w:spacing w:line="300" w:lineRule="exact"/>
              <w:jc w:val="center"/>
              <w:rPr>
                <w:rFonts w:hint="eastAsia" w:ascii="仿宋_GB2312"/>
                <w:b/>
                <w:sz w:val="24"/>
              </w:rPr>
            </w:pPr>
            <w:r>
              <w:rPr>
                <w:rFonts w:hint="eastAsia" w:ascii="仿宋_GB2312"/>
                <w:b/>
                <w:sz w:val="24"/>
              </w:rPr>
              <w:t>单位</w:t>
            </w:r>
          </w:p>
        </w:tc>
        <w:tc>
          <w:tcPr>
            <w:tcW w:w="883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宋体"/>
                <w:b/>
                <w:sz w:val="24"/>
                <w:lang w:eastAsia="zh-CN"/>
              </w:rPr>
            </w:pPr>
            <w:r>
              <w:rPr>
                <w:rFonts w:hint="eastAsia" w:ascii="仿宋_GB2312"/>
                <w:b/>
                <w:sz w:val="24"/>
                <w:lang w:val="en-US" w:eastAsia="zh-CN"/>
              </w:rPr>
              <w:t>2023年</w:t>
            </w:r>
            <w:r>
              <w:rPr>
                <w:rFonts w:hint="eastAsia" w:ascii="仿宋_GB2312"/>
                <w:b/>
                <w:sz w:val="24"/>
                <w:lang w:eastAsia="zh-CN"/>
              </w:rPr>
              <w:t>收入（元）</w:t>
            </w:r>
          </w:p>
        </w:tc>
        <w:tc>
          <w:tcPr>
            <w:tcW w:w="123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/>
                <w:b/>
                <w:sz w:val="24"/>
              </w:rPr>
            </w:pPr>
            <w:r>
              <w:rPr>
                <w:rFonts w:hint="eastAsia" w:ascii="仿宋_GB2312"/>
                <w:b/>
                <w:sz w:val="24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7" w:hRule="atLeast"/>
          <w:jc w:val="center"/>
        </w:trPr>
        <w:tc>
          <w:tcPr>
            <w:tcW w:w="68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/>
                <w:b/>
                <w:spacing w:val="-10"/>
                <w:sz w:val="24"/>
              </w:rPr>
            </w:pPr>
            <w:r>
              <w:rPr>
                <w:rFonts w:hint="eastAsia" w:ascii="仿宋_GB2312" w:hAnsi="宋体"/>
                <w:b/>
                <w:spacing w:val="-10"/>
                <w:sz w:val="24"/>
              </w:rPr>
              <w:t>主申请人</w:t>
            </w:r>
          </w:p>
        </w:tc>
        <w:tc>
          <w:tcPr>
            <w:tcW w:w="98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40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85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40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40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85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709" w:type="dxa"/>
            <w:noWrap w:val="0"/>
            <w:vAlign w:val="top"/>
          </w:tcPr>
          <w:p>
            <w:pPr>
              <w:spacing w:line="300" w:lineRule="exact"/>
              <w:jc w:val="center"/>
            </w:pPr>
          </w:p>
        </w:tc>
        <w:tc>
          <w:tcPr>
            <w:tcW w:w="709" w:type="dxa"/>
            <w:noWrap w:val="0"/>
            <w:vAlign w:val="top"/>
          </w:tcPr>
          <w:p>
            <w:pPr>
              <w:spacing w:line="300" w:lineRule="exact"/>
              <w:jc w:val="center"/>
            </w:pPr>
          </w:p>
        </w:tc>
        <w:tc>
          <w:tcPr>
            <w:tcW w:w="709" w:type="dxa"/>
            <w:noWrap w:val="0"/>
            <w:vAlign w:val="top"/>
          </w:tcPr>
          <w:p>
            <w:pPr>
              <w:spacing w:line="300" w:lineRule="exact"/>
              <w:jc w:val="center"/>
            </w:pPr>
          </w:p>
        </w:tc>
        <w:tc>
          <w:tcPr>
            <w:tcW w:w="709" w:type="dxa"/>
            <w:noWrap w:val="0"/>
            <w:vAlign w:val="top"/>
          </w:tcPr>
          <w:p>
            <w:pPr>
              <w:spacing w:line="300" w:lineRule="exact"/>
              <w:jc w:val="center"/>
            </w:pPr>
          </w:p>
        </w:tc>
        <w:tc>
          <w:tcPr>
            <w:tcW w:w="709" w:type="dxa"/>
            <w:noWrap w:val="0"/>
            <w:vAlign w:val="top"/>
          </w:tcPr>
          <w:p>
            <w:pPr>
              <w:spacing w:line="300" w:lineRule="exact"/>
              <w:jc w:val="center"/>
            </w:pPr>
          </w:p>
          <w:p>
            <w:pPr>
              <w:spacing w:line="300" w:lineRule="exact"/>
              <w:jc w:val="center"/>
            </w:pPr>
          </w:p>
          <w:p>
            <w:pPr>
              <w:spacing w:line="300" w:lineRule="exact"/>
              <w:jc w:val="center"/>
            </w:pPr>
          </w:p>
        </w:tc>
        <w:tc>
          <w:tcPr>
            <w:tcW w:w="445" w:type="dxa"/>
            <w:noWrap w:val="0"/>
            <w:vAlign w:val="top"/>
          </w:tcPr>
          <w:p>
            <w:pPr>
              <w:spacing w:line="300" w:lineRule="exact"/>
              <w:jc w:val="center"/>
            </w:pPr>
          </w:p>
          <w:p>
            <w:pPr>
              <w:spacing w:line="300" w:lineRule="exact"/>
              <w:jc w:val="center"/>
            </w:pPr>
          </w:p>
          <w:p>
            <w:pPr>
              <w:spacing w:line="300" w:lineRule="exact"/>
              <w:jc w:val="center"/>
              <w:rPr>
                <w:rFonts w:hint="eastAsia"/>
              </w:rPr>
            </w:pPr>
          </w:p>
        </w:tc>
        <w:tc>
          <w:tcPr>
            <w:tcW w:w="106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1117" w:type="dxa"/>
            <w:noWrap w:val="0"/>
            <w:vAlign w:val="top"/>
          </w:tcPr>
          <w:p>
            <w:pPr>
              <w:spacing w:line="300" w:lineRule="exact"/>
              <w:jc w:val="center"/>
            </w:pPr>
          </w:p>
          <w:p>
            <w:pPr>
              <w:spacing w:line="300" w:lineRule="exact"/>
              <w:jc w:val="center"/>
            </w:pPr>
          </w:p>
          <w:p>
            <w:pPr>
              <w:spacing w:line="300" w:lineRule="exact"/>
              <w:jc w:val="center"/>
              <w:rPr>
                <w:rFonts w:hint="eastAsia"/>
              </w:rPr>
            </w:pPr>
          </w:p>
        </w:tc>
        <w:tc>
          <w:tcPr>
            <w:tcW w:w="1467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883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1235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7" w:hRule="atLeast"/>
          <w:jc w:val="center"/>
        </w:trPr>
        <w:tc>
          <w:tcPr>
            <w:tcW w:w="685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98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40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85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40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40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85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709" w:type="dxa"/>
            <w:noWrap w:val="0"/>
            <w:vAlign w:val="top"/>
          </w:tcPr>
          <w:p>
            <w:pPr>
              <w:spacing w:line="300" w:lineRule="exact"/>
              <w:jc w:val="center"/>
            </w:pPr>
          </w:p>
        </w:tc>
        <w:tc>
          <w:tcPr>
            <w:tcW w:w="709" w:type="dxa"/>
            <w:noWrap w:val="0"/>
            <w:vAlign w:val="top"/>
          </w:tcPr>
          <w:p>
            <w:pPr>
              <w:spacing w:line="300" w:lineRule="exact"/>
              <w:jc w:val="center"/>
            </w:pPr>
          </w:p>
        </w:tc>
        <w:tc>
          <w:tcPr>
            <w:tcW w:w="709" w:type="dxa"/>
            <w:noWrap w:val="0"/>
            <w:vAlign w:val="top"/>
          </w:tcPr>
          <w:p>
            <w:pPr>
              <w:spacing w:line="300" w:lineRule="exact"/>
              <w:jc w:val="center"/>
            </w:pPr>
          </w:p>
        </w:tc>
        <w:tc>
          <w:tcPr>
            <w:tcW w:w="709" w:type="dxa"/>
            <w:noWrap w:val="0"/>
            <w:vAlign w:val="top"/>
          </w:tcPr>
          <w:p>
            <w:pPr>
              <w:spacing w:line="300" w:lineRule="exact"/>
              <w:jc w:val="center"/>
            </w:pPr>
          </w:p>
        </w:tc>
        <w:tc>
          <w:tcPr>
            <w:tcW w:w="709" w:type="dxa"/>
            <w:noWrap w:val="0"/>
            <w:vAlign w:val="top"/>
          </w:tcPr>
          <w:p>
            <w:pPr>
              <w:spacing w:line="300" w:lineRule="exact"/>
              <w:jc w:val="center"/>
            </w:pPr>
          </w:p>
          <w:p>
            <w:pPr>
              <w:spacing w:line="300" w:lineRule="exact"/>
              <w:jc w:val="center"/>
            </w:pPr>
          </w:p>
          <w:p>
            <w:pPr>
              <w:spacing w:line="300" w:lineRule="exact"/>
              <w:jc w:val="center"/>
              <w:rPr>
                <w:rFonts w:hint="eastAsia"/>
              </w:rPr>
            </w:pPr>
          </w:p>
        </w:tc>
        <w:tc>
          <w:tcPr>
            <w:tcW w:w="445" w:type="dxa"/>
            <w:noWrap w:val="0"/>
            <w:vAlign w:val="top"/>
          </w:tcPr>
          <w:p>
            <w:pPr>
              <w:spacing w:line="300" w:lineRule="exact"/>
              <w:jc w:val="center"/>
            </w:pPr>
          </w:p>
          <w:p>
            <w:pPr>
              <w:spacing w:line="300" w:lineRule="exact"/>
              <w:jc w:val="center"/>
            </w:pPr>
          </w:p>
          <w:p>
            <w:pPr>
              <w:spacing w:line="300" w:lineRule="exact"/>
              <w:jc w:val="center"/>
              <w:rPr>
                <w:rFonts w:hint="eastAsia"/>
              </w:rPr>
            </w:pPr>
          </w:p>
        </w:tc>
        <w:tc>
          <w:tcPr>
            <w:tcW w:w="106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1117" w:type="dxa"/>
            <w:noWrap w:val="0"/>
            <w:vAlign w:val="top"/>
          </w:tcPr>
          <w:p>
            <w:pPr>
              <w:spacing w:line="300" w:lineRule="exact"/>
              <w:jc w:val="center"/>
            </w:pPr>
          </w:p>
          <w:p>
            <w:pPr>
              <w:spacing w:line="300" w:lineRule="exact"/>
              <w:jc w:val="center"/>
            </w:pPr>
          </w:p>
          <w:p>
            <w:pPr>
              <w:spacing w:line="300" w:lineRule="exact"/>
              <w:jc w:val="center"/>
              <w:rPr>
                <w:rFonts w:hint="eastAsia"/>
              </w:rPr>
            </w:pPr>
          </w:p>
        </w:tc>
        <w:tc>
          <w:tcPr>
            <w:tcW w:w="1467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</w:rPr>
            </w:pPr>
          </w:p>
        </w:tc>
        <w:tc>
          <w:tcPr>
            <w:tcW w:w="883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</w:rPr>
            </w:pPr>
          </w:p>
        </w:tc>
        <w:tc>
          <w:tcPr>
            <w:tcW w:w="123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7" w:hRule="atLeast"/>
          <w:jc w:val="center"/>
        </w:trPr>
        <w:tc>
          <w:tcPr>
            <w:tcW w:w="685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98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40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85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40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40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85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709" w:type="dxa"/>
            <w:noWrap w:val="0"/>
            <w:vAlign w:val="top"/>
          </w:tcPr>
          <w:p>
            <w:pPr>
              <w:spacing w:line="300" w:lineRule="exact"/>
              <w:jc w:val="center"/>
            </w:pPr>
          </w:p>
        </w:tc>
        <w:tc>
          <w:tcPr>
            <w:tcW w:w="709" w:type="dxa"/>
            <w:noWrap w:val="0"/>
            <w:vAlign w:val="top"/>
          </w:tcPr>
          <w:p>
            <w:pPr>
              <w:spacing w:line="300" w:lineRule="exact"/>
              <w:jc w:val="center"/>
            </w:pPr>
          </w:p>
        </w:tc>
        <w:tc>
          <w:tcPr>
            <w:tcW w:w="709" w:type="dxa"/>
            <w:noWrap w:val="0"/>
            <w:vAlign w:val="top"/>
          </w:tcPr>
          <w:p>
            <w:pPr>
              <w:spacing w:line="300" w:lineRule="exact"/>
              <w:jc w:val="center"/>
            </w:pPr>
          </w:p>
        </w:tc>
        <w:tc>
          <w:tcPr>
            <w:tcW w:w="709" w:type="dxa"/>
            <w:noWrap w:val="0"/>
            <w:vAlign w:val="top"/>
          </w:tcPr>
          <w:p>
            <w:pPr>
              <w:spacing w:line="300" w:lineRule="exact"/>
              <w:jc w:val="center"/>
            </w:pPr>
          </w:p>
        </w:tc>
        <w:tc>
          <w:tcPr>
            <w:tcW w:w="709" w:type="dxa"/>
            <w:noWrap w:val="0"/>
            <w:vAlign w:val="top"/>
          </w:tcPr>
          <w:p>
            <w:pPr>
              <w:spacing w:line="300" w:lineRule="exact"/>
              <w:jc w:val="center"/>
            </w:pPr>
          </w:p>
        </w:tc>
        <w:tc>
          <w:tcPr>
            <w:tcW w:w="445" w:type="dxa"/>
            <w:noWrap w:val="0"/>
            <w:vAlign w:val="top"/>
          </w:tcPr>
          <w:p>
            <w:pPr>
              <w:spacing w:line="300" w:lineRule="exact"/>
              <w:jc w:val="center"/>
            </w:pPr>
          </w:p>
        </w:tc>
        <w:tc>
          <w:tcPr>
            <w:tcW w:w="106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1117" w:type="dxa"/>
            <w:noWrap w:val="0"/>
            <w:vAlign w:val="top"/>
          </w:tcPr>
          <w:p>
            <w:pPr>
              <w:spacing w:line="300" w:lineRule="exact"/>
              <w:jc w:val="center"/>
            </w:pPr>
          </w:p>
        </w:tc>
        <w:tc>
          <w:tcPr>
            <w:tcW w:w="1467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883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1235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7" w:hRule="atLeast"/>
          <w:jc w:val="center"/>
        </w:trPr>
        <w:tc>
          <w:tcPr>
            <w:tcW w:w="685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98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40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85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40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40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85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709" w:type="dxa"/>
            <w:noWrap w:val="0"/>
            <w:vAlign w:val="top"/>
          </w:tcPr>
          <w:p>
            <w:pPr>
              <w:spacing w:line="300" w:lineRule="exact"/>
              <w:jc w:val="center"/>
            </w:pPr>
          </w:p>
        </w:tc>
        <w:tc>
          <w:tcPr>
            <w:tcW w:w="709" w:type="dxa"/>
            <w:noWrap w:val="0"/>
            <w:vAlign w:val="top"/>
          </w:tcPr>
          <w:p>
            <w:pPr>
              <w:spacing w:line="300" w:lineRule="exact"/>
              <w:jc w:val="center"/>
            </w:pPr>
          </w:p>
        </w:tc>
        <w:tc>
          <w:tcPr>
            <w:tcW w:w="709" w:type="dxa"/>
            <w:noWrap w:val="0"/>
            <w:vAlign w:val="top"/>
          </w:tcPr>
          <w:p>
            <w:pPr>
              <w:spacing w:line="300" w:lineRule="exact"/>
              <w:jc w:val="center"/>
            </w:pPr>
          </w:p>
        </w:tc>
        <w:tc>
          <w:tcPr>
            <w:tcW w:w="709" w:type="dxa"/>
            <w:noWrap w:val="0"/>
            <w:vAlign w:val="top"/>
          </w:tcPr>
          <w:p>
            <w:pPr>
              <w:spacing w:line="300" w:lineRule="exact"/>
              <w:jc w:val="center"/>
            </w:pPr>
          </w:p>
        </w:tc>
        <w:tc>
          <w:tcPr>
            <w:tcW w:w="709" w:type="dxa"/>
            <w:noWrap w:val="0"/>
            <w:vAlign w:val="top"/>
          </w:tcPr>
          <w:p>
            <w:pPr>
              <w:spacing w:line="300" w:lineRule="exact"/>
              <w:jc w:val="center"/>
            </w:pPr>
          </w:p>
        </w:tc>
        <w:tc>
          <w:tcPr>
            <w:tcW w:w="445" w:type="dxa"/>
            <w:noWrap w:val="0"/>
            <w:vAlign w:val="top"/>
          </w:tcPr>
          <w:p>
            <w:pPr>
              <w:spacing w:line="300" w:lineRule="exact"/>
              <w:jc w:val="center"/>
            </w:pPr>
          </w:p>
        </w:tc>
        <w:tc>
          <w:tcPr>
            <w:tcW w:w="106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1117" w:type="dxa"/>
            <w:noWrap w:val="0"/>
            <w:vAlign w:val="top"/>
          </w:tcPr>
          <w:p>
            <w:pPr>
              <w:spacing w:line="300" w:lineRule="exact"/>
              <w:jc w:val="center"/>
            </w:pPr>
          </w:p>
        </w:tc>
        <w:tc>
          <w:tcPr>
            <w:tcW w:w="1467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883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1235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7" w:hRule="atLeast"/>
          <w:jc w:val="center"/>
        </w:trPr>
        <w:tc>
          <w:tcPr>
            <w:tcW w:w="685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98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40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85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40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40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285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709" w:type="dxa"/>
            <w:noWrap w:val="0"/>
            <w:vAlign w:val="top"/>
          </w:tcPr>
          <w:p>
            <w:pPr>
              <w:spacing w:line="300" w:lineRule="exact"/>
              <w:jc w:val="center"/>
            </w:pPr>
          </w:p>
        </w:tc>
        <w:tc>
          <w:tcPr>
            <w:tcW w:w="709" w:type="dxa"/>
            <w:noWrap w:val="0"/>
            <w:vAlign w:val="top"/>
          </w:tcPr>
          <w:p>
            <w:pPr>
              <w:spacing w:line="300" w:lineRule="exact"/>
              <w:jc w:val="center"/>
            </w:pPr>
          </w:p>
        </w:tc>
        <w:tc>
          <w:tcPr>
            <w:tcW w:w="709" w:type="dxa"/>
            <w:noWrap w:val="0"/>
            <w:vAlign w:val="top"/>
          </w:tcPr>
          <w:p>
            <w:pPr>
              <w:spacing w:line="300" w:lineRule="exact"/>
              <w:jc w:val="center"/>
            </w:pPr>
          </w:p>
        </w:tc>
        <w:tc>
          <w:tcPr>
            <w:tcW w:w="709" w:type="dxa"/>
            <w:noWrap w:val="0"/>
            <w:vAlign w:val="top"/>
          </w:tcPr>
          <w:p>
            <w:pPr>
              <w:spacing w:line="300" w:lineRule="exact"/>
              <w:jc w:val="center"/>
            </w:pPr>
          </w:p>
        </w:tc>
        <w:tc>
          <w:tcPr>
            <w:tcW w:w="709" w:type="dxa"/>
            <w:noWrap w:val="0"/>
            <w:vAlign w:val="top"/>
          </w:tcPr>
          <w:p>
            <w:pPr>
              <w:spacing w:line="300" w:lineRule="exact"/>
              <w:jc w:val="center"/>
            </w:pPr>
          </w:p>
        </w:tc>
        <w:tc>
          <w:tcPr>
            <w:tcW w:w="445" w:type="dxa"/>
            <w:noWrap w:val="0"/>
            <w:vAlign w:val="top"/>
          </w:tcPr>
          <w:p>
            <w:pPr>
              <w:spacing w:line="300" w:lineRule="exact"/>
              <w:jc w:val="center"/>
            </w:pPr>
          </w:p>
        </w:tc>
        <w:tc>
          <w:tcPr>
            <w:tcW w:w="1066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1117" w:type="dxa"/>
            <w:noWrap w:val="0"/>
            <w:vAlign w:val="top"/>
          </w:tcPr>
          <w:p>
            <w:pPr>
              <w:spacing w:line="300" w:lineRule="exact"/>
              <w:jc w:val="center"/>
            </w:pPr>
          </w:p>
        </w:tc>
        <w:tc>
          <w:tcPr>
            <w:tcW w:w="1467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883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  <w:tc>
          <w:tcPr>
            <w:tcW w:w="1235" w:type="dxa"/>
            <w:noWrap w:val="0"/>
            <w:vAlign w:val="center"/>
          </w:tcPr>
          <w:p>
            <w:pPr>
              <w:spacing w:line="300" w:lineRule="exact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15787" w:type="dxa"/>
            <w:gridSpan w:val="31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 w:cs="宋体"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sz w:val="21"/>
                <w:szCs w:val="21"/>
              </w:rPr>
              <w:t xml:space="preserve">不动产情况：  </w:t>
            </w:r>
            <w:r>
              <w:rPr>
                <w:rFonts w:hint="eastAsia" w:ascii="宋体" w:hAnsi="宋体" w:eastAsia="宋体" w:cs="宋体"/>
                <w:bCs/>
                <w:sz w:val="21"/>
                <w:szCs w:val="21"/>
              </w:rPr>
              <w:t>是否拥有超标房产（打“√”）     是（  ）  否（  ）；</w:t>
            </w:r>
          </w:p>
          <w:p>
            <w:pPr>
              <w:spacing w:line="300" w:lineRule="exact"/>
              <w:rPr>
                <w:b/>
              </w:rPr>
            </w:pPr>
            <w:r>
              <w:rPr>
                <w:rFonts w:hint="eastAsia" w:ascii="宋体" w:hAnsi="宋体" w:eastAsia="宋体" w:cs="宋体"/>
                <w:b/>
                <w:sz w:val="21"/>
                <w:szCs w:val="21"/>
              </w:rPr>
              <w:t>政策解读：保障家庭成员系福州市城区户籍（鼓楼、台江、仓山、晋安）的，名下可拥有不超过人均15平方米的住房；保障家庭成员非福州市城区户籍的，名下不得拥有福州四城区的住房。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5787" w:type="dxa"/>
            <w:gridSpan w:val="31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 w:cs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sz w:val="21"/>
                <w:szCs w:val="21"/>
              </w:rPr>
              <w:t>私家车辆情况：</w:t>
            </w:r>
            <w:r>
              <w:rPr>
                <w:rFonts w:hint="eastAsia" w:ascii="宋体" w:hAnsi="宋体" w:eastAsia="宋体" w:cs="宋体"/>
                <w:bCs/>
                <w:sz w:val="21"/>
                <w:szCs w:val="21"/>
              </w:rPr>
              <w:t>是否持有超标车辆（打“√”）     是（  ）  否（  ）；</w:t>
            </w:r>
          </w:p>
          <w:p>
            <w:pPr>
              <w:spacing w:line="300" w:lineRule="exact"/>
              <w:rPr>
                <w:rFonts w:ascii="仿宋_GB2312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/>
                <w:sz w:val="21"/>
                <w:szCs w:val="21"/>
              </w:rPr>
              <w:t>政策解读：购车金额不得高于25万（含）或排量不得高于2.4L/2.0T（含），家庭不止一辆车的将合并计算。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  <w:jc w:val="center"/>
        </w:trPr>
        <w:tc>
          <w:tcPr>
            <w:tcW w:w="15787" w:type="dxa"/>
            <w:gridSpan w:val="31"/>
            <w:noWrap w:val="0"/>
            <w:vAlign w:val="top"/>
          </w:tcPr>
          <w:p>
            <w:pPr>
              <w:spacing w:line="300" w:lineRule="exact"/>
              <w:jc w:val="left"/>
              <w:rPr>
                <w:rFonts w:ascii="仿宋_GB2312"/>
                <w:bCs/>
                <w:sz w:val="24"/>
                <w:u w:val="single"/>
              </w:rPr>
            </w:pPr>
            <w:r>
              <w:rPr>
                <w:rFonts w:hint="eastAsia" w:ascii="宋体" w:hAnsi="宋体" w:eastAsia="宋体" w:cs="宋体"/>
                <w:b/>
                <w:sz w:val="21"/>
                <w:szCs w:val="21"/>
              </w:rPr>
              <w:t>收入情况：将所有保障范围内家庭成员可支配收入合并计算，本户保障家庭的</w:t>
            </w:r>
            <w:r>
              <w:rPr>
                <w:rFonts w:hint="eastAsia" w:ascii="宋体" w:hAnsi="宋体" w:cs="宋体"/>
                <w:b/>
                <w:sz w:val="21"/>
                <w:szCs w:val="21"/>
                <w:lang w:val="en-US" w:eastAsia="zh-CN"/>
              </w:rPr>
              <w:t>2023年</w:t>
            </w:r>
            <w:r>
              <w:rPr>
                <w:rFonts w:hint="eastAsia" w:ascii="宋体" w:hAnsi="宋体" w:eastAsia="宋体" w:cs="宋体"/>
                <w:b/>
                <w:sz w:val="24"/>
                <w:szCs w:val="24"/>
                <w:u w:val="single"/>
              </w:rPr>
              <w:t>人均年收入</w:t>
            </w:r>
            <w:r>
              <w:rPr>
                <w:rFonts w:hint="eastAsia" w:ascii="宋体" w:hAnsi="宋体" w:eastAsia="宋体" w:cs="宋体"/>
                <w:b/>
                <w:sz w:val="21"/>
                <w:szCs w:val="21"/>
              </w:rPr>
              <w:t>为</w:t>
            </w:r>
            <w:r>
              <w:rPr>
                <w:rFonts w:hint="eastAsia" w:ascii="宋体" w:hAnsi="宋体" w:eastAsia="宋体" w:cs="宋体"/>
                <w:b/>
                <w:sz w:val="21"/>
                <w:szCs w:val="21"/>
                <w:u w:val="single"/>
              </w:rPr>
              <w:t xml:space="preserve">              </w:t>
            </w:r>
            <w:r>
              <w:rPr>
                <w:rFonts w:hint="eastAsia" w:ascii="宋体" w:hAnsi="宋体" w:eastAsia="宋体" w:cs="宋体"/>
                <w:b/>
                <w:sz w:val="21"/>
                <w:szCs w:val="21"/>
              </w:rPr>
              <w:t>元（已扣除个人缴交的各类保险金、公积金和纳税款）。</w:t>
            </w:r>
          </w:p>
        </w:tc>
      </w:tr>
    </w:tbl>
    <w:p>
      <w:pPr>
        <w:pStyle w:val="2"/>
        <w:ind w:firstLine="308"/>
      </w:pPr>
    </w:p>
    <w:p>
      <w:pPr>
        <w:pStyle w:val="2"/>
        <w:ind w:firstLine="308"/>
        <w:rPr>
          <w:rFonts w:hint="eastAsia"/>
        </w:rPr>
        <w:sectPr>
          <w:headerReference r:id="rId3" w:type="default"/>
          <w:pgSz w:w="16838" w:h="11906" w:orient="landscape"/>
          <w:pgMar w:top="284" w:right="193" w:bottom="284" w:left="193" w:header="57" w:footer="113" w:gutter="0"/>
          <w:pgNumType w:fmt="decimal"/>
          <w:cols w:space="720" w:num="1"/>
          <w:docGrid w:type="lines" w:linePitch="435" w:charSpace="0"/>
        </w:sectPr>
      </w:pPr>
    </w:p>
    <w:p>
      <w:pPr>
        <w:spacing w:line="400" w:lineRule="exact"/>
        <w:jc w:val="center"/>
        <w:rPr>
          <w:rFonts w:hint="eastAsia" w:ascii="仿宋_GB2312" w:hAnsi="仿宋_GB2312" w:eastAsia="仿宋_GB2312" w:cs="仿宋_GB2312"/>
          <w:b/>
          <w:bCs/>
          <w:spacing w:val="-6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pacing w:val="-6"/>
          <w:sz w:val="32"/>
          <w:szCs w:val="32"/>
        </w:rPr>
        <w:t>公租房保障家庭动态情况申报提示</w:t>
      </w:r>
    </w:p>
    <w:p>
      <w:pPr>
        <w:spacing w:line="400" w:lineRule="exact"/>
        <w:jc w:val="left"/>
        <w:rPr>
          <w:rFonts w:hint="eastAsia" w:ascii="仿宋_GB2312" w:hAnsi="仿宋_GB2312" w:eastAsia="仿宋_GB2312" w:cs="仿宋_GB2312"/>
          <w:spacing w:val="-6"/>
          <w:sz w:val="24"/>
          <w:szCs w:val="24"/>
        </w:rPr>
      </w:pPr>
    </w:p>
    <w:p>
      <w:pPr>
        <w:spacing w:line="340" w:lineRule="exact"/>
        <w:ind w:firstLine="456" w:firstLineChars="200"/>
        <w:jc w:val="left"/>
        <w:rPr>
          <w:rFonts w:hint="eastAsia" w:ascii="仿宋_GB2312" w:hAnsi="仿宋_GB2312" w:eastAsia="仿宋_GB2312" w:cs="仿宋_GB2312"/>
          <w:spacing w:val="-6"/>
          <w:sz w:val="24"/>
          <w:szCs w:val="24"/>
        </w:rPr>
      </w:pPr>
      <w:r>
        <w:rPr>
          <w:rFonts w:hint="eastAsia" w:ascii="仿宋_GB2312" w:hAnsi="仿宋_GB2312" w:eastAsia="仿宋_GB2312" w:cs="仿宋_GB2312"/>
          <w:spacing w:val="-6"/>
          <w:sz w:val="24"/>
          <w:szCs w:val="24"/>
        </w:rPr>
        <w:t>一、《福州市中心城区公租房保障家庭动态申报信息表》内所有栏目均须填写，申报表内相关栏目中的括号由填表人在对应的选项打“√”予以明确，与申请家庭成员实际情况无关的栏目应在填写处划线以示注销，不得留空。</w:t>
      </w:r>
    </w:p>
    <w:p>
      <w:pPr>
        <w:spacing w:line="340" w:lineRule="exact"/>
        <w:ind w:firstLine="561"/>
        <w:rPr>
          <w:rFonts w:hint="eastAsia" w:ascii="仿宋_GB2312" w:hAnsi="仿宋_GB2312" w:eastAsia="仿宋_GB2312" w:cs="仿宋_GB2312"/>
          <w:spacing w:val="-6"/>
          <w:sz w:val="24"/>
          <w:szCs w:val="24"/>
        </w:rPr>
      </w:pPr>
      <w:r>
        <w:rPr>
          <w:rFonts w:hint="eastAsia" w:ascii="仿宋_GB2312" w:hAnsi="仿宋_GB2312" w:eastAsia="仿宋_GB2312" w:cs="仿宋_GB2312"/>
          <w:spacing w:val="-6"/>
          <w:sz w:val="24"/>
          <w:szCs w:val="24"/>
        </w:rPr>
        <w:t>二、《福州市中心城区公租房保障家庭动态申报信息表》</w:t>
      </w:r>
    </w:p>
    <w:p>
      <w:pPr>
        <w:spacing w:line="340" w:lineRule="exact"/>
        <w:ind w:firstLine="561"/>
        <w:rPr>
          <w:rFonts w:hint="eastAsia" w:ascii="仿宋_GB2312" w:hAnsi="仿宋_GB2312" w:eastAsia="仿宋_GB2312" w:cs="仿宋_GB2312"/>
          <w:spacing w:val="-6"/>
          <w:sz w:val="24"/>
          <w:szCs w:val="24"/>
        </w:rPr>
      </w:pPr>
      <w:r>
        <w:rPr>
          <w:rFonts w:hint="eastAsia" w:ascii="仿宋_GB2312" w:hAnsi="仿宋_GB2312" w:eastAsia="仿宋_GB2312" w:cs="仿宋_GB2312"/>
          <w:spacing w:val="-6"/>
          <w:sz w:val="24"/>
          <w:szCs w:val="24"/>
        </w:rPr>
        <w:t>1.“家庭成员”栏填写主申请人及其成员关系，如：之妻、之夫、之子、之女。</w:t>
      </w:r>
      <w:r>
        <w:rPr>
          <w:rFonts w:hint="eastAsia" w:ascii="仿宋_GB2312" w:hAnsi="仿宋_GB2312" w:eastAsia="仿宋_GB2312" w:cs="仿宋_GB2312"/>
          <w:bCs/>
          <w:spacing w:val="-6"/>
          <w:sz w:val="24"/>
          <w:szCs w:val="24"/>
        </w:rPr>
        <w:t>保障家庭成员以填报之日的情况为准，填写本家庭原保障范围内所有家庭成员及新增成员，新增成员仅限主申请人配偶及未成年子女，不包括其他亲属。</w:t>
      </w:r>
    </w:p>
    <w:p>
      <w:pPr>
        <w:spacing w:line="340" w:lineRule="exact"/>
        <w:ind w:firstLine="561"/>
        <w:rPr>
          <w:rFonts w:hint="eastAsia" w:ascii="仿宋_GB2312" w:hAnsi="仿宋_GB2312" w:eastAsia="仿宋_GB2312" w:cs="仿宋_GB2312"/>
          <w:bCs/>
          <w:spacing w:val="-6"/>
          <w:sz w:val="24"/>
          <w:szCs w:val="24"/>
        </w:rPr>
      </w:pPr>
      <w:r>
        <w:rPr>
          <w:rFonts w:hint="eastAsia" w:ascii="仿宋_GB2312" w:hAnsi="仿宋_GB2312" w:eastAsia="仿宋_GB2312" w:cs="仿宋_GB2312"/>
          <w:spacing w:val="-6"/>
          <w:sz w:val="24"/>
          <w:szCs w:val="24"/>
        </w:rPr>
        <w:t>2.</w:t>
      </w:r>
      <w:r>
        <w:rPr>
          <w:rFonts w:hint="eastAsia" w:ascii="仿宋_GB2312" w:hAnsi="仿宋_GB2312" w:eastAsia="仿宋_GB2312" w:cs="仿宋_GB2312"/>
          <w:bCs/>
          <w:spacing w:val="-6"/>
          <w:sz w:val="24"/>
          <w:szCs w:val="24"/>
        </w:rPr>
        <w:t>家庭成员发生变化的请在该家庭成员对应的“新增/减员”一栏填写“新增”或“减员”，并在“变化原因”一栏注明“出生”、“结婚”、“离异”、“死亡”、“扣减成年子女”等原因并提供相应的证明材料原、复印件各一份（出生证、离婚证及离婚协议、死亡证），新生儿在身份证栏填注生日。</w:t>
      </w:r>
    </w:p>
    <w:p>
      <w:pPr>
        <w:spacing w:line="340" w:lineRule="exact"/>
        <w:ind w:firstLine="561"/>
        <w:rPr>
          <w:rFonts w:hint="eastAsia" w:ascii="仿宋_GB2312" w:hAnsi="仿宋_GB2312" w:eastAsia="仿宋_GB2312" w:cs="仿宋_GB2312"/>
          <w:spacing w:val="-6"/>
          <w:sz w:val="24"/>
          <w:szCs w:val="24"/>
        </w:rPr>
      </w:pPr>
      <w:r>
        <w:rPr>
          <w:rFonts w:hint="eastAsia" w:ascii="仿宋_GB2312" w:hAnsi="仿宋_GB2312" w:eastAsia="仿宋_GB2312" w:cs="仿宋_GB2312"/>
          <w:bCs/>
          <w:spacing w:val="-6"/>
          <w:sz w:val="24"/>
          <w:szCs w:val="24"/>
        </w:rPr>
        <w:t>3.属于</w:t>
      </w:r>
      <w:r>
        <w:rPr>
          <w:rFonts w:hint="eastAsia" w:ascii="仿宋_GB2312" w:hAnsi="仿宋_GB2312" w:eastAsia="仿宋_GB2312" w:cs="仿宋_GB2312"/>
          <w:b/>
          <w:bCs/>
          <w:spacing w:val="-6"/>
          <w:sz w:val="24"/>
          <w:szCs w:val="24"/>
          <w:u w:val="single"/>
        </w:rPr>
        <w:t>民政认定的特困、低保、低保边缘</w:t>
      </w:r>
      <w:r>
        <w:rPr>
          <w:rFonts w:hint="eastAsia" w:ascii="仿宋_GB2312" w:hAnsi="仿宋_GB2312" w:eastAsia="仿宋_GB2312" w:cs="仿宋_GB2312"/>
          <w:spacing w:val="-6"/>
          <w:sz w:val="24"/>
          <w:szCs w:val="24"/>
        </w:rPr>
        <w:t>等住房救助对象的，在</w:t>
      </w:r>
      <w:r>
        <w:rPr>
          <w:rFonts w:hint="eastAsia" w:ascii="仿宋_GB2312" w:hAnsi="仿宋_GB2312" w:eastAsia="仿宋_GB2312" w:cs="仿宋_GB2312"/>
          <w:bCs/>
          <w:spacing w:val="-6"/>
          <w:sz w:val="24"/>
          <w:szCs w:val="24"/>
        </w:rPr>
        <w:t>“是否兜底保障对象”一栏</w:t>
      </w:r>
      <w:r>
        <w:rPr>
          <w:rFonts w:hint="eastAsia" w:ascii="仿宋_GB2312" w:hAnsi="仿宋_GB2312" w:eastAsia="仿宋_GB2312" w:cs="仿宋_GB2312"/>
          <w:spacing w:val="-6"/>
          <w:sz w:val="24"/>
          <w:szCs w:val="24"/>
        </w:rPr>
        <w:t>填写“是”。</w:t>
      </w:r>
    </w:p>
    <w:p>
      <w:pPr>
        <w:spacing w:line="340" w:lineRule="exact"/>
        <w:ind w:firstLine="561"/>
        <w:rPr>
          <w:rFonts w:hint="eastAsia" w:ascii="仿宋_GB2312" w:hAnsi="仿宋_GB2312" w:eastAsia="仿宋_GB2312" w:cs="仿宋_GB2312"/>
          <w:bCs/>
          <w:spacing w:val="-6"/>
          <w:sz w:val="24"/>
          <w:szCs w:val="24"/>
        </w:rPr>
      </w:pPr>
      <w:r>
        <w:rPr>
          <w:rFonts w:hint="eastAsia" w:ascii="仿宋_GB2312" w:hAnsi="仿宋_GB2312" w:eastAsia="仿宋_GB2312" w:cs="仿宋_GB2312"/>
          <w:spacing w:val="-6"/>
          <w:sz w:val="24"/>
          <w:szCs w:val="24"/>
        </w:rPr>
        <w:t>4.“</w:t>
      </w:r>
      <w:r>
        <w:rPr>
          <w:rFonts w:hint="eastAsia" w:ascii="仿宋_GB2312" w:hAnsi="仿宋_GB2312" w:eastAsia="仿宋_GB2312" w:cs="仿宋_GB2312"/>
          <w:bCs/>
          <w:spacing w:val="-6"/>
          <w:sz w:val="24"/>
          <w:szCs w:val="24"/>
        </w:rPr>
        <w:t>婚姻状况”选填“未婚、初婚、再婚、复婚、离婚、丧偶”中的一项。</w:t>
      </w:r>
    </w:p>
    <w:p>
      <w:pPr>
        <w:spacing w:line="340" w:lineRule="exact"/>
        <w:ind w:firstLine="561"/>
        <w:rPr>
          <w:rFonts w:hint="eastAsia" w:ascii="仿宋_GB2312" w:hAnsi="仿宋_GB2312" w:eastAsia="仿宋_GB2312" w:cs="仿宋_GB2312"/>
          <w:spacing w:val="-6"/>
          <w:sz w:val="24"/>
          <w:szCs w:val="24"/>
        </w:rPr>
      </w:pPr>
      <w:r>
        <w:rPr>
          <w:rFonts w:hint="eastAsia" w:ascii="仿宋_GB2312" w:hAnsi="仿宋_GB2312" w:eastAsia="仿宋_GB2312" w:cs="仿宋_GB2312"/>
          <w:bCs/>
          <w:spacing w:val="-6"/>
          <w:sz w:val="24"/>
          <w:szCs w:val="24"/>
        </w:rPr>
        <w:t>5.</w:t>
      </w:r>
      <w:r>
        <w:rPr>
          <w:rFonts w:hint="eastAsia" w:ascii="仿宋_GB2312" w:hAnsi="仿宋_GB2312" w:eastAsia="仿宋_GB2312" w:cs="仿宋_GB2312"/>
          <w:spacing w:val="-6"/>
          <w:sz w:val="24"/>
          <w:szCs w:val="24"/>
        </w:rPr>
        <w:t>“文化程度”栏非在校学习的填“博士（含等同于博士的学历，下同）、硕士、本科、大专、中专（含中职、中技）、初中、小学、半文盲、文盲”，在校生注明在读阶段，如“幼儿园、高中生、博士研究生等”。</w:t>
      </w:r>
    </w:p>
    <w:p>
      <w:pPr>
        <w:spacing w:line="340" w:lineRule="exact"/>
        <w:ind w:firstLine="561"/>
        <w:rPr>
          <w:rFonts w:hint="eastAsia" w:ascii="仿宋_GB2312" w:hAnsi="仿宋_GB2312" w:eastAsia="仿宋_GB2312" w:cs="仿宋_GB2312"/>
          <w:bCs/>
          <w:spacing w:val="-6"/>
          <w:sz w:val="24"/>
          <w:szCs w:val="24"/>
        </w:rPr>
      </w:pPr>
      <w:r>
        <w:rPr>
          <w:rFonts w:hint="eastAsia" w:ascii="仿宋_GB2312" w:hAnsi="仿宋_GB2312" w:eastAsia="仿宋_GB2312" w:cs="仿宋_GB2312"/>
          <w:bCs/>
          <w:spacing w:val="-6"/>
          <w:sz w:val="24"/>
          <w:szCs w:val="24"/>
        </w:rPr>
        <w:t xml:space="preserve">6.所属群体：⑴60周岁以上老人；⑵进城落户农业转移人口；⑶农民工；⑷二级以上重度残疾人；⑸计划生育特殊困难家庭；⑹获得市级以上表彰的见义勇为、特殊贡献奖励；⑺退役军人；⑻现役军人家属；⑼建档立卡贫困户；⑽居住证持有人；⑾消防救援人员；⑿市级劳模；⒀省部级以上劳模；⒁环卫行业职工；⒂公交行业职工；⒃教育行业职工；⒄卫生行业职工；⒅优抚对象；⒆其他群体。上述群体中：同时具备上述两类或两类以上属性的家庭成员，选择一项填写。计划生育特殊困难家庭指的是独生子女去世或残疾且未再生育、领养子女的家庭；农民工指的是在我市城区工作的外地户籍农业人口。 </w:t>
      </w:r>
    </w:p>
    <w:p>
      <w:pPr>
        <w:spacing w:line="340" w:lineRule="exact"/>
        <w:ind w:firstLine="561"/>
        <w:rPr>
          <w:rFonts w:hint="eastAsia" w:ascii="仿宋_GB2312" w:hAnsi="仿宋_GB2312" w:eastAsia="仿宋_GB2312" w:cs="仿宋_GB2312"/>
          <w:spacing w:val="-6"/>
          <w:sz w:val="24"/>
          <w:szCs w:val="24"/>
        </w:rPr>
      </w:pPr>
      <w:r>
        <w:rPr>
          <w:rFonts w:hint="eastAsia" w:ascii="仿宋_GB2312" w:hAnsi="仿宋_GB2312" w:eastAsia="仿宋_GB2312" w:cs="仿宋_GB2312"/>
          <w:bCs/>
          <w:spacing w:val="-6"/>
          <w:sz w:val="24"/>
          <w:szCs w:val="24"/>
        </w:rPr>
        <w:t>7.</w:t>
      </w:r>
      <w:r>
        <w:rPr>
          <w:rFonts w:hint="eastAsia" w:ascii="仿宋_GB2312" w:hAnsi="仿宋_GB2312" w:eastAsia="仿宋_GB2312" w:cs="仿宋_GB2312"/>
          <w:spacing w:val="-6"/>
          <w:sz w:val="24"/>
          <w:szCs w:val="24"/>
        </w:rPr>
        <w:t>“工作（学习）单位”栏填写工作单位（含全职、兼职、实习单位）或学校全称，无业的填写“待业或失业”，离退休人员填写“离退休”并注明原工作单位，灵活就业或自由职业的填写“灵活就业”。</w:t>
      </w:r>
    </w:p>
    <w:p>
      <w:pPr>
        <w:spacing w:line="340" w:lineRule="exact"/>
        <w:ind w:firstLine="561"/>
        <w:rPr>
          <w:rFonts w:hint="eastAsia" w:ascii="仿宋_GB2312" w:hAnsi="仿宋_GB2312" w:eastAsia="仿宋_GB2312" w:cs="仿宋_GB2312"/>
          <w:spacing w:val="-6"/>
          <w:sz w:val="24"/>
          <w:szCs w:val="24"/>
        </w:rPr>
      </w:pPr>
      <w:r>
        <w:rPr>
          <w:rFonts w:hint="eastAsia" w:ascii="仿宋_GB2312" w:hAnsi="仿宋_GB2312" w:eastAsia="仿宋_GB2312" w:cs="仿宋_GB2312"/>
          <w:spacing w:val="-6"/>
          <w:sz w:val="24"/>
          <w:szCs w:val="24"/>
        </w:rPr>
        <w:t>三、申请家庭成员收入情况中，属于个体工商户的，其工薪收入证明栏中填写经营性收入；收入由两个或两个以上工作单位发放的人员（即存在更换工作或兼职情况的人员），须将上述收入合并计算。离退休人员和失业人员（须持有经年检的失业证）的收入情况按离退休金和失业救济金发放金额填报。</w:t>
      </w:r>
    </w:p>
    <w:p>
      <w:pPr>
        <w:spacing w:line="340" w:lineRule="exact"/>
        <w:ind w:firstLine="560"/>
        <w:rPr>
          <w:rFonts w:hint="eastAsia" w:ascii="仿宋_GB2312" w:hAnsi="仿宋_GB2312" w:eastAsia="仿宋_GB2312" w:cs="仿宋_GB2312"/>
          <w:spacing w:val="-6"/>
          <w:sz w:val="24"/>
          <w:szCs w:val="24"/>
        </w:rPr>
      </w:pPr>
      <w:r>
        <w:rPr>
          <w:rFonts w:hint="eastAsia" w:ascii="仿宋_GB2312" w:hAnsi="仿宋_GB2312" w:eastAsia="仿宋_GB2312" w:cs="仿宋_GB2312"/>
          <w:spacing w:val="-6"/>
          <w:sz w:val="24"/>
          <w:szCs w:val="24"/>
        </w:rPr>
        <w:t>四、城市低保、二级以上重度残疾、优抚对象、获得市级以上表彰、失独家庭、无偿献血奉献奖获得者、造血干细胞捐献者、军人军属、残疾军人、退役军人、烈士遗属、军人遗属等群体，提供相关证件（证明材料）。</w:t>
      </w:r>
    </w:p>
    <w:p>
      <w:pPr>
        <w:spacing w:line="560" w:lineRule="exact"/>
        <w:rPr>
          <w:rFonts w:hint="eastAsia" w:ascii="方正黑体_GBK" w:hAnsi="方正黑体_GBK" w:eastAsia="方正黑体_GBK" w:cs="方正黑体_GBK"/>
          <w:b/>
          <w:bCs/>
          <w:spacing w:val="-6"/>
          <w:sz w:val="32"/>
          <w:szCs w:val="20"/>
        </w:rPr>
      </w:pPr>
    </w:p>
    <w:p/>
    <w:sectPr>
      <w:footerReference r:id="rId4" w:type="default"/>
      <w:pgSz w:w="11906" w:h="16838"/>
      <w:pgMar w:top="1440" w:right="1800" w:bottom="1440" w:left="1800" w:header="851" w:footer="992" w:gutter="0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华文中宋">
    <w:altName w:val="宋体"/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黑体_GBK">
    <w:altName w:val="微软雅黑"/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snapToGrid w:val="0"/>
      <w:spacing w:line="240" w:lineRule="atLeast"/>
      <w:jc w:val="left"/>
      <w:rPr>
        <w:rFonts w:ascii="Times New Roman" w:hAnsi="Times New Roman" w:eastAsia="仿宋_GB2312" w:cs="Times New Roman"/>
        <w:spacing w:val="-6"/>
        <w:kern w:val="2"/>
        <w:sz w:val="18"/>
        <w:lang w:val="en-US" w:eastAsia="zh-CN" w:bidi="ar-SA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YyYmQ5ZTlkMmFlNWRkNzRmNDU4OGJjZjYxYjI4MmYifQ=="/>
  </w:docVars>
  <w:rsids>
    <w:rsidRoot w:val="00000000"/>
    <w:rsid w:val="15020007"/>
    <w:rsid w:val="1F1D488B"/>
    <w:rsid w:val="20282C7B"/>
    <w:rsid w:val="2E3E0341"/>
    <w:rsid w:val="3EAB0813"/>
    <w:rsid w:val="46EC1368"/>
    <w:rsid w:val="FFFCF2A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Style w:val="6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0"/>
    <w:pPr>
      <w:ind w:firstLine="420" w:firstLineChars="100"/>
    </w:pPr>
  </w:style>
  <w:style w:type="paragraph" w:styleId="3">
    <w:name w:val="Body Text"/>
    <w:basedOn w:val="1"/>
    <w:qFormat/>
    <w:uiPriority w:val="0"/>
    <w:pPr>
      <w:spacing w:after="120" w:afterLines="0" w:afterAutospacing="0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2014-10-30T04:08:00Z</dcterms:created>
  <dc:creator>Administrator</dc:creator>
  <cp:lastModifiedBy>Administrator</cp:lastModifiedBy>
  <cp:lastPrinted>2024-04-09T08:31:44Z</cp:lastPrinted>
  <dcterms:modified xsi:type="dcterms:W3CDTF">2024-04-25T01:20:38Z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2052-11.8.2.11019</vt:lpwstr>
  </property>
  <property fmtid="{D5CDD505-2E9C-101B-9397-08002B2CF9AE}" pid="3" name="ICV">
    <vt:lpwstr>C9DFDFD6C30B4371B265CAF5AC4E9B0B</vt:lpwstr>
  </property>
</Properties>
</file>