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79" w:lineRule="exact"/>
        <w:ind w:firstLine="0" w:firstLineChars="0"/>
        <w:jc w:val="center"/>
        <w:textAlignment w:val="auto"/>
        <w:rPr>
          <w:rFonts w:hint="eastAsia" w:ascii="国标小标宋-GB/T 2312" w:hAnsi="国标小标宋-GB/T 2312" w:eastAsia="国标小标宋-GB/T 2312" w:cs="国标小标宋-GB/T 2312"/>
          <w:b w:val="0"/>
          <w:bCs w:val="0"/>
          <w:sz w:val="44"/>
          <w:szCs w:val="44"/>
          <w:highlight w:val="none"/>
          <w:shd w:val="clear" w:color="auto" w:fill="auto"/>
        </w:rPr>
      </w:pPr>
      <w:bookmarkStart w:id="0" w:name="_GoBack"/>
      <w:r>
        <w:rPr>
          <w:rFonts w:hint="eastAsia" w:ascii="国标小标宋-GB/T 2312" w:hAnsi="国标小标宋-GB/T 2312" w:eastAsia="国标小标宋-GB/T 2312" w:cs="国标小标宋-GB/T 2312"/>
          <w:b w:val="0"/>
          <w:bCs w:val="0"/>
          <w:sz w:val="44"/>
          <w:szCs w:val="44"/>
          <w:highlight w:val="none"/>
          <w:shd w:val="clear" w:color="auto" w:fill="auto"/>
          <w:lang w:eastAsia="zh-CN"/>
        </w:rPr>
        <w:t>福州市</w:t>
      </w:r>
      <w:r>
        <w:rPr>
          <w:rFonts w:hint="eastAsia" w:ascii="国标小标宋-GB/T 2312" w:hAnsi="国标小标宋-GB/T 2312" w:eastAsia="国标小标宋-GB/T 2312" w:cs="国标小标宋-GB/T 2312"/>
          <w:b w:val="0"/>
          <w:bCs w:val="0"/>
          <w:sz w:val="44"/>
          <w:szCs w:val="44"/>
          <w:highlight w:val="none"/>
          <w:shd w:val="clear" w:color="auto" w:fill="auto"/>
        </w:rPr>
        <w:t>贯彻落实《福建省民兵权益</w:t>
      </w:r>
    </w:p>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79" w:lineRule="exact"/>
        <w:ind w:firstLine="0" w:firstLineChars="0"/>
        <w:jc w:val="center"/>
        <w:textAlignment w:val="auto"/>
        <w:rPr>
          <w:rFonts w:hint="eastAsia" w:ascii="楷体_GB2312" w:eastAsia="楷体_GB2312"/>
          <w:bCs/>
          <w:sz w:val="32"/>
          <w:szCs w:val="32"/>
          <w:highlight w:val="none"/>
          <w:shd w:val="clear" w:color="auto" w:fill="auto"/>
          <w:lang w:eastAsia="zh-CN"/>
        </w:rPr>
      </w:pPr>
      <w:r>
        <w:rPr>
          <w:rFonts w:hint="eastAsia" w:ascii="国标小标宋-GB/T 2312" w:hAnsi="国标小标宋-GB/T 2312" w:eastAsia="国标小标宋-GB/T 2312" w:cs="国标小标宋-GB/T 2312"/>
          <w:b w:val="0"/>
          <w:bCs w:val="0"/>
          <w:sz w:val="44"/>
          <w:szCs w:val="44"/>
          <w:highlight w:val="none"/>
          <w:shd w:val="clear" w:color="auto" w:fill="auto"/>
        </w:rPr>
        <w:t>保障办法》</w:t>
      </w:r>
      <w:r>
        <w:rPr>
          <w:rFonts w:hint="eastAsia" w:ascii="国标小标宋-GB/T 2312" w:hAnsi="国标小标宋-GB/T 2312" w:eastAsia="国标小标宋-GB/T 2312" w:cs="国标小标宋-GB/T 2312"/>
          <w:b w:val="0"/>
          <w:bCs w:val="0"/>
          <w:sz w:val="44"/>
          <w:szCs w:val="44"/>
          <w:highlight w:val="none"/>
          <w:shd w:val="clear" w:color="auto" w:fill="auto"/>
          <w:lang w:eastAsia="zh-CN"/>
        </w:rPr>
        <w:t>若干措施</w:t>
      </w:r>
    </w:p>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79" w:lineRule="exact"/>
        <w:ind w:left="1916" w:leftChars="618" w:firstLine="1280" w:firstLineChars="400"/>
        <w:jc w:val="left"/>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sz w:val="32"/>
          <w:szCs w:val="32"/>
          <w:highlight w:val="none"/>
          <w:lang w:val="en-US" w:eastAsia="zh-CN"/>
        </w:rPr>
        <w:t>（征求意见稿）</w:t>
      </w:r>
    </w:p>
    <w:p>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caps w:val="0"/>
          <w:color w:val="000000"/>
          <w:spacing w:val="0"/>
          <w:kern w:val="0"/>
          <w:sz w:val="32"/>
          <w:szCs w:val="32"/>
          <w:highlight w:val="none"/>
          <w:lang w:val="en-US" w:eastAsia="zh-CN" w:bidi="ar"/>
        </w:rPr>
        <w:t>为贯彻落实《福建省民兵权益保障办法》，持续夯实全市国防动员后备力量建设根基，推动新时代福州民兵建设提质增效，</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结合我市实际制定本措施。</w:t>
      </w:r>
    </w:p>
    <w:p>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黑体" w:hAnsi="黑体" w:eastAsia="黑体" w:cs="黑体"/>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一、保障对象</w:t>
      </w:r>
    </w:p>
    <w:p>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本措施</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适用</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对象为福州市行政区域内在编民兵（以下简称民兵）和编组民兵的企事业单位及社会组织（以下简称编兵单位）。</w:t>
      </w:r>
    </w:p>
    <w:p>
      <w:pPr>
        <w:pStyle w:val="9"/>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lang w:val="en-US" w:eastAsia="zh-CN"/>
          <w14:textFill>
            <w14:solidFill>
              <w14:schemeClr w14:val="tx1"/>
            </w14:solidFill>
          </w14:textFill>
        </w:rPr>
        <w:t>二、民兵权益保障</w:t>
      </w:r>
    </w:p>
    <w:p>
      <w:pPr>
        <w:pStyle w:val="3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（一）为基干民兵统一发放《福建省民兵证》，作为验证基干民兵身份和实施权益保障的有效标识。</w:t>
      </w:r>
    </w:p>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市</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县</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（市）区两级</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会同同级军事机关，每年走访慰问家庭困难民兵</w:t>
      </w:r>
      <w:r>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t>，帮助解决实际困难，并对</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民兵家庭遭遇突发性、临时性事件导致生活陷入困境的，给予必要的帮扶援助</w:t>
      </w:r>
      <w:r>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t>。</w:t>
      </w:r>
    </w:p>
    <w:p>
      <w:pPr>
        <w:pStyle w:val="9"/>
        <w:widowControl/>
        <w:spacing w:before="0" w:beforeLines="0" w:beforeAutospacing="0" w:after="0" w:afterLines="0" w:afterAutospacing="0"/>
        <w:ind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（三）在抢险救灾、维稳制乱、安保警戒、疫情防控、海上维权、联演联训、训练比武等多样化军事任务</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（以下简称</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多样化军事任务</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中表现突出，</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且受到</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设区市</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以上人民政府</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或同级军事机关通报表扬的民兵，</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其本人或子女符合兵役征集条件的，优先入伍。</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（四）民兵参加多样化军事任务时，组织单位应当为民兵购买意外伤亡保险，</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其所在</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单位</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按规定落实工资、奖金、福利待遇，不影响其业绩（绩效）考核</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、职称评定和职务晋升，</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不得解除劳动或聘用关系</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民兵在执行任务中出现伤亡的，按照有关规定享受相关抚恤优待。</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（五）民兵在参加多样化军事任务期间，由军事机关根据有关规定发放参训执勤补助</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；占用休息日的，鼓励编兵单位给予相应调休。</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（六）民兵使用网络运营商提供的相关网络服务的，可参照现役军人享受专属优惠套餐，具体优惠套餐由相关企业制定。</w:t>
      </w:r>
    </w:p>
    <w:p>
      <w:pPr>
        <w:pStyle w:val="3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）在各级政务服务中心窗口</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办理业务时，</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优先办理</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在国有商业银行各服务网点办理开销户、存取款、转账汇款等服务</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时，</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优先办理</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）在各级各类公立医疗卫生服务机构，提供普通门诊优先缴费等服务。</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对参加军事训练和执行任务期间因公负伤或突发疾病需紧急医疗救治的，开辟绿色通道，实行先治疗后付费。</w:t>
      </w:r>
    </w:p>
    <w:p>
      <w:pPr>
        <w:pStyle w:val="9"/>
        <w:widowControl/>
        <w:spacing w:before="0" w:beforeLines="0" w:beforeAutospacing="0" w:after="0" w:afterLines="0" w:afterAutospacing="0"/>
        <w:ind w:firstLine="640" w:firstLineChars="200"/>
        <w:jc w:val="both"/>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）符合就业困难人员条件的，享受优先就业创业扶持和就业援助</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通过提供就业服务、鼓励企业吸纳、公益性岗位援助等方式帮助就业。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十</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）在国有资金投资建设的各类博物馆、纪念馆、美术馆等公共文化设施以及公园、展览馆、名胜古迹，</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享</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受门票减免等优惠待遇。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十一</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highlight w:val="none"/>
        </w:rPr>
        <w:t>倡导</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各级法律援助机构、律师事务所、司法鉴定机构优先为民兵提供法律援助服务。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000000" w:themeColor="text1"/>
          <w:ker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shd w:val="clear" w:color="auto" w:fill="auto"/>
          <w:lang w:val="en-US" w:eastAsia="zh-CN" w:bidi="ar-SA"/>
          <w14:textFill>
            <w14:solidFill>
              <w14:schemeClr w14:val="tx1"/>
            </w14:solidFill>
          </w14:textFill>
        </w:rPr>
        <w:t>（</w:t>
      </w:r>
      <w:r>
        <w:rPr>
          <w:rFonts w:hint="eastAsia" w:ascii="仿宋_GB2312" w:hAnsi="仿宋_GB2312" w:cs="仿宋_GB2312"/>
          <w:b w:val="0"/>
          <w:bCs w:val="0"/>
          <w:color w:val="000000" w:themeColor="text1"/>
          <w:kern w:val="0"/>
          <w:sz w:val="32"/>
          <w:szCs w:val="32"/>
          <w:highlight w:val="none"/>
          <w:shd w:val="clear" w:color="auto" w:fill="auto"/>
          <w:lang w:val="en-US" w:eastAsia="zh-CN" w:bidi="ar-SA"/>
          <w14:textFill>
            <w14:solidFill>
              <w14:schemeClr w14:val="tx1"/>
            </w14:solidFill>
          </w14:textFill>
        </w:rPr>
        <w:t>十二</w:t>
      </w:r>
      <w:r>
        <w:rPr>
          <w:rFonts w:hint="eastAsia" w:ascii="仿宋_GB2312" w:hAnsi="仿宋_GB2312" w:eastAsia="仿宋_GB2312" w:cs="仿宋_GB2312"/>
          <w:b w:val="0"/>
          <w:bCs w:val="0"/>
          <w:color w:val="000000" w:themeColor="text1"/>
          <w:kern w:val="0"/>
          <w:sz w:val="32"/>
          <w:szCs w:val="32"/>
          <w:highlight w:val="none"/>
          <w:shd w:val="clear" w:color="auto" w:fill="auto"/>
          <w:lang w:val="en-US" w:eastAsia="zh-CN" w:bidi="ar-SA"/>
          <w14:textFill>
            <w14:solidFill>
              <w14:schemeClr w14:val="tx1"/>
            </w14:solidFill>
          </w14:textFill>
        </w:rPr>
        <w:t>）鼓励金融机构在依法合规、风险可控前提下针对民兵群体创新金融产品和服务，在贷款利率和贷款额度等方面给予适度优惠倾斜。</w:t>
      </w:r>
    </w:p>
    <w:p>
      <w:pPr>
        <w:pStyle w:val="4"/>
        <w:overflowPunct w:val="0"/>
        <w:spacing w:line="600" w:lineRule="exact"/>
        <w:ind w:left="0" w:right="0"/>
        <w:rPr>
          <w:rFonts w:hint="eastAsia" w:ascii="仿宋_GB2312" w:hAnsi="仿宋_GB2312" w:eastAsia="仿宋_GB2312" w:cs="仿宋_GB2312"/>
          <w:b w:val="0"/>
          <w:bCs w:val="0"/>
          <w:color w:val="000000" w:themeColor="text1"/>
          <w:ker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color w:val="000000" w:themeColor="text1"/>
          <w:szCs w:val="32"/>
          <w:highlight w:val="none"/>
          <w:lang w:eastAsia="zh-CN"/>
          <w14:textFill>
            <w14:solidFill>
              <w14:schemeClr w14:val="tx1"/>
            </w14:solidFill>
          </w14:textFill>
        </w:rPr>
        <w:t>（十三）市、县（市）区政府和同级军事机关</w:t>
      </w:r>
      <w:r>
        <w:rPr>
          <w:rFonts w:ascii="仿宋_GB2312" w:hAnsi="仿宋_GB2312" w:eastAsia="仿宋_GB2312" w:cs="仿宋_GB2312"/>
          <w:color w:val="000000" w:themeColor="text1"/>
          <w:szCs w:val="32"/>
          <w:highlight w:val="none"/>
          <w14:textFill>
            <w14:solidFill>
              <w14:schemeClr w14:val="tx1"/>
            </w14:solidFill>
          </w14:textFill>
        </w:rPr>
        <w:t>每年为参加军事训练和新入队</w:t>
      </w:r>
      <w:r>
        <w:rPr>
          <w:rFonts w:hint="eastAsia" w:ascii="仿宋_GB2312" w:hAnsi="仿宋_GB2312" w:cs="仿宋_GB2312"/>
          <w:color w:val="000000" w:themeColor="text1"/>
          <w:szCs w:val="32"/>
          <w:highlight w:val="none"/>
          <w:lang w:eastAsia="zh-CN"/>
          <w14:textFill>
            <w14:solidFill>
              <w14:schemeClr w14:val="tx1"/>
            </w14:solidFill>
          </w14:textFill>
        </w:rPr>
        <w:t>的</w:t>
      </w:r>
      <w:r>
        <w:rPr>
          <w:rFonts w:ascii="仿宋_GB2312" w:hAnsi="仿宋_GB2312" w:eastAsia="仿宋_GB2312" w:cs="仿宋_GB2312"/>
          <w:color w:val="000000" w:themeColor="text1"/>
          <w:szCs w:val="32"/>
          <w:highlight w:val="none"/>
          <w14:textFill>
            <w14:solidFill>
              <w14:schemeClr w14:val="tx1"/>
            </w14:solidFill>
          </w14:textFill>
        </w:rPr>
        <w:t>基干民兵组织1次</w:t>
      </w:r>
      <w:r>
        <w:rPr>
          <w:rFonts w:hint="eastAsia" w:ascii="仿宋_GB2312" w:hAnsi="仿宋_GB2312" w:cs="仿宋_GB2312"/>
          <w:color w:val="000000" w:themeColor="text1"/>
          <w:szCs w:val="32"/>
          <w:highlight w:val="none"/>
          <w:lang w:eastAsia="zh-CN"/>
          <w14:textFill>
            <w14:solidFill>
              <w14:schemeClr w14:val="tx1"/>
            </w14:solidFill>
          </w14:textFill>
        </w:rPr>
        <w:t>免费体检</w:t>
      </w:r>
      <w:r>
        <w:rPr>
          <w:rFonts w:ascii="仿宋_GB2312" w:hAnsi="仿宋_GB2312" w:eastAsia="仿宋_GB2312" w:cs="仿宋_GB2312"/>
          <w:color w:val="000000" w:themeColor="text1"/>
          <w:szCs w:val="32"/>
          <w:highlight w:val="none"/>
          <w14:textFill>
            <w14:solidFill>
              <w14:schemeClr w14:val="tx1"/>
            </w14:solidFill>
          </w14:textFill>
        </w:rPr>
        <w:t>。</w:t>
      </w:r>
    </w:p>
    <w:p>
      <w:pPr>
        <w:pStyle w:val="3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上述单位应在相关场所、站点设置服务窗口或</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民兵优先”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明显标识。</w:t>
      </w:r>
    </w:p>
    <w:p>
      <w:pPr>
        <w:pStyle w:val="9"/>
        <w:widowControl/>
        <w:spacing w:before="0" w:beforeLines="0" w:beforeAutospacing="0" w:after="0" w:afterLines="0" w:afterAutospacing="0"/>
        <w:ind w:firstLine="640" w:firstLineChars="200"/>
        <w:jc w:val="both"/>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编兵单位权益保障</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生产经营指挥通信、侦察观通、应急救援、抢险救灾等装备器材或相关产品的编兵单位，符合条件的，按规定列入军民融合企业目录。</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（二）经县级以上人民政府、同级军事机关认定武装工作成绩突出的编兵单位，在信贷扶持、项目审批、要素保障等方面提供政策支持，在税收方面提供政策指导。</w:t>
      </w:r>
    </w:p>
    <w:p>
      <w:pPr>
        <w:pStyle w:val="9"/>
        <w:widowControl/>
        <w:spacing w:before="0" w:beforeLines="0" w:beforeAutospacing="0" w:after="0" w:afterLines="0" w:afterAutospacing="0"/>
        <w:ind w:firstLine="640" w:firstLineChars="200"/>
        <w:jc w:val="both"/>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t>四、奖励激励</w:t>
      </w:r>
    </w:p>
    <w:p>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firstLine="640" w:firstLineChars="200"/>
        <w:jc w:val="both"/>
        <w:textAlignment w:val="baseline"/>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军地有关部门依据有关规定，通报表扬民兵工作成绩突出的单位和个人</w:t>
      </w:r>
      <w:r>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受到表扬的</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单位和</w:t>
      </w:r>
      <w:r>
        <w:rPr>
          <w:rFonts w:hint="eastAsia" w:ascii="仿宋_GB2312" w:hAnsi="仿宋_GB2312" w:cs="仿宋_GB2312"/>
          <w:color w:val="000000" w:themeColor="text1"/>
          <w:sz w:val="32"/>
          <w:szCs w:val="32"/>
          <w:highlight w:val="none"/>
          <w:shd w:val="clear" w:color="auto" w:fill="FFFFFF"/>
          <w:lang w:eastAsia="zh-CN"/>
          <w14:textFill>
            <w14:solidFill>
              <w14:schemeClr w14:val="tx1"/>
            </w14:solidFill>
          </w14:textFill>
        </w:rPr>
        <w:t>个人</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军地有关部门在重大节日联合开展走访慰问</w:t>
      </w:r>
      <w:r>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t>。</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（三）</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获设区市以上人民政府或军事机关表彰或表扬的民兵或参与民兵工作的人员，由所属军事机关联合同级政府送喜报上门。</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w:t>
      </w: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四</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充分发挥党报党刊、电视电台等媒介作用，用好微博、微信、短视频等新媒体平台，线上线下联动，多渠道协同发力，积极宣传新时代民兵队伍在抢险救灾、应急处突等各项工作中的先进典型与感人事迹，持续讲好民兵故事，传播民兵正能量。</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w:t>
      </w: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五</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）军地有关部门将民兵地位作用、建设运用、有关政策法规等知识和新时代民兵建设成就纳入全民国防教育内容，营造全社会认同民兵、尊崇民兵、支持民兵工作的浓厚氛围。</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w:t>
      </w: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六</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）军地有关部门开展全民国防教育、学生军训等活动时，在符合相关规定的条件下优先聘请优秀民兵担任编外辅导员、讲解员、学生军训教官等。</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w:t>
      </w: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七</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）军地有关部门每年为辖区入队民兵集中举行一次入队仪式。</w:t>
      </w:r>
    </w:p>
    <w:p>
      <w:pPr>
        <w:numPr>
          <w:ilvl w:val="0"/>
          <w:numId w:val="0"/>
        </w:numPr>
        <w:ind w:firstLine="656" w:firstLineChars="200"/>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w:t>
      </w:r>
      <w:r>
        <w:rPr>
          <w:rFonts w:hint="eastAsia" w:ascii="仿宋_GB2312" w:hAnsi="仿宋_GB2312" w:cs="仿宋_GB2312"/>
          <w:color w:val="000000" w:themeColor="text1"/>
          <w:spacing w:val="4"/>
          <w:kern w:val="0"/>
          <w:sz w:val="32"/>
          <w:szCs w:val="32"/>
          <w:highlight w:val="none"/>
          <w:u w:val="none"/>
          <w:lang w:val="en-US" w:eastAsia="zh-CN" w:bidi="ar"/>
          <w14:textFill>
            <w14:solidFill>
              <w14:schemeClr w14:val="tx1"/>
            </w14:solidFill>
          </w14:textFill>
        </w:rPr>
        <w:t>八</w:t>
      </w:r>
      <w:r>
        <w:rPr>
          <w:rFonts w:hint="eastAsia" w:ascii="仿宋_GB2312" w:hAnsi="仿宋_GB2312" w:eastAsia="仿宋_GB2312" w:cs="仿宋_GB2312"/>
          <w:color w:val="000000" w:themeColor="text1"/>
          <w:spacing w:val="4"/>
          <w:kern w:val="0"/>
          <w:sz w:val="32"/>
          <w:szCs w:val="32"/>
          <w:highlight w:val="none"/>
          <w:u w:val="none"/>
          <w:lang w:val="en-US" w:eastAsia="zh-CN" w:bidi="ar"/>
          <w14:textFill>
            <w14:solidFill>
              <w14:schemeClr w14:val="tx1"/>
            </w14:solidFill>
          </w14:textFill>
        </w:rPr>
        <w:t>）军地有关部门根据有关规定组织优秀民兵和先进单位评选活动。</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）在省军区组织的比武竞赛中获得综合成绩前10名、在</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警备区</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组织的比武竞赛中获得综合成绩前5名的民兵，</w:t>
      </w:r>
      <w:r>
        <w:rPr>
          <w:rFonts w:hint="eastAsia" w:ascii="仿宋_GB2312" w:hAnsi="仿宋_GB2312" w:eastAsia="仿宋_GB2312" w:cs="仿宋_GB2312"/>
          <w:b w:val="0"/>
          <w:bCs w:val="0"/>
          <w:color w:val="000000" w:themeColor="text1"/>
          <w:spacing w:val="4"/>
          <w:kern w:val="0"/>
          <w:sz w:val="32"/>
          <w:szCs w:val="32"/>
          <w:highlight w:val="none"/>
          <w:u w:val="none"/>
          <w:lang w:val="en-US" w:eastAsia="zh-CN" w:bidi="ar"/>
          <w14:textFill>
            <w14:solidFill>
              <w14:schemeClr w14:val="tx1"/>
            </w14:solidFill>
          </w14:textFill>
        </w:rPr>
        <w:t>警备区和县级人民武装部</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有关</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规定</w:t>
      </w:r>
      <w:r>
        <w:rPr>
          <w:rFonts w:hint="eastAsia" w:ascii="仿宋_GB2312" w:hAnsi="仿宋_GB2312" w:eastAsia="仿宋_GB2312" w:cs="仿宋_GB2312"/>
          <w:b w:val="0"/>
          <w:bCs w:val="0"/>
          <w:color w:val="000000" w:themeColor="text1"/>
          <w:spacing w:val="4"/>
          <w:kern w:val="0"/>
          <w:sz w:val="32"/>
          <w:szCs w:val="32"/>
          <w:highlight w:val="none"/>
          <w:u w:val="none"/>
          <w:lang w:val="en-US" w:eastAsia="zh-CN" w:bidi="ar"/>
          <w14:textFill>
            <w14:solidFill>
              <w14:schemeClr w14:val="tx1"/>
            </w14:solidFill>
          </w14:textFill>
        </w:rPr>
        <w:t>负责所属基干民兵</w:t>
      </w:r>
      <w:r>
        <w:rPr>
          <w:rFonts w:hint="eastAsia" w:ascii="仿宋_GB2312" w:hAnsi="仿宋_GB2312" w:cs="仿宋_GB2312"/>
          <w:b w:val="0"/>
          <w:bCs w:val="0"/>
          <w:color w:val="000000" w:themeColor="text1"/>
          <w:spacing w:val="4"/>
          <w:kern w:val="0"/>
          <w:sz w:val="32"/>
          <w:szCs w:val="32"/>
          <w:highlight w:val="none"/>
          <w:u w:val="none"/>
          <w:lang w:val="en-US" w:eastAsia="zh-CN" w:bidi="ar"/>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通报表扬</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发放奖金奖品</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p>
    <w:p>
      <w:pPr>
        <w:pStyle w:val="9"/>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（十）</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相关部门单位对</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诋毁</w:t>
      </w:r>
      <w:r>
        <w:rPr>
          <w:rFonts w:hint="eastAsia" w:ascii="仿宋_GB2312" w:hAnsi="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贬损民兵荣誉，或者故意损毁、玷污民兵荣誉标识的单位、组织和个人，责令整改，对造成严重后果的，依法依规予以处理。</w:t>
      </w:r>
    </w:p>
    <w:p>
      <w:pPr>
        <w:pStyle w:val="9"/>
        <w:widowControl/>
        <w:spacing w:before="0" w:beforeLines="0" w:beforeAutospacing="0" w:after="0" w:afterLines="0" w:afterAutospacing="0"/>
        <w:ind w:firstLine="640" w:firstLineChars="200"/>
        <w:jc w:val="both"/>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t>五、附则</w:t>
      </w:r>
    </w:p>
    <w:p>
      <w:pPr>
        <w:pStyle w:val="3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本措施</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执行情况纳入全市党管武装、民兵工作考评范畴，军地定期组织联合检查，确保</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本措施</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的实施得到有效的监督和执行。</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cs="仿宋_GB2312"/>
          <w:color w:val="000000" w:themeColor="text1"/>
          <w:sz w:val="32"/>
          <w:szCs w:val="32"/>
          <w:highlight w:val="none"/>
          <w:shd w:val="clear" w:color="auto" w:fill="FFFFFF"/>
          <w:lang w:eastAsia="zh-CN"/>
          <w14:textFill>
            <w14:solidFill>
              <w14:schemeClr w14:val="tx1"/>
            </w14:solidFill>
          </w14:textFill>
        </w:rPr>
      </w:pPr>
      <w:r>
        <w:rPr>
          <w:rFonts w:hint="eastAsia" w:ascii="仿宋_GB2312" w:hAnsi="仿宋_GB2312" w:cs="仿宋_GB2312"/>
          <w:color w:val="000000" w:themeColor="text1"/>
          <w:sz w:val="32"/>
          <w:szCs w:val="32"/>
          <w:highlight w:val="none"/>
          <w:shd w:val="clear" w:color="auto" w:fill="FFFFFF"/>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本措施</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自发布之日起施行，有效期</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5年</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cs="仿宋_GB2312"/>
          <w:color w:val="000000" w:themeColor="text1"/>
          <w:sz w:val="32"/>
          <w:szCs w:val="32"/>
          <w:highlight w:val="none"/>
          <w:shd w:val="clear" w:color="auto" w:fill="FFFFFF"/>
          <w:lang w:eastAsia="zh-CN"/>
          <w14:textFill>
            <w14:solidFill>
              <w14:schemeClr w14:val="tx1"/>
            </w14:solidFill>
          </w14:textFill>
        </w:rPr>
        <w:t>期间根据落实情况，视情进行补充完善。</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cs="仿宋_GB2312"/>
          <w:color w:val="000000" w:themeColor="text1"/>
          <w:sz w:val="32"/>
          <w:szCs w:val="32"/>
          <w:highlight w:val="none"/>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本措施</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福州警备区</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民兵工作主管部门负责解释。</w:t>
      </w: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pStyle w:val="9"/>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tabs>
          <w:tab w:val="left" w:pos="2255"/>
        </w:tabs>
        <w:ind w:firstLine="633" w:firstLineChars="198"/>
        <w:rPr>
          <w:rFonts w:hint="eastAsia" w:ascii="仿宋_GB2312"/>
          <w:sz w:val="32"/>
          <w:szCs w:val="32"/>
          <w:highlight w:val="none"/>
        </w:rPr>
      </w:pPr>
    </w:p>
    <w:bookmarkEnd w:id="0"/>
    <w:sectPr>
      <w:footerReference r:id="rId5" w:type="default"/>
      <w:footerReference r:id="rId6" w:type="even"/>
      <w:pgSz w:w="11905" w:h="16837"/>
      <w:pgMar w:top="2098" w:right="1474" w:bottom="2155" w:left="1588" w:header="1588" w:footer="851" w:gutter="0"/>
      <w:pgNumType w:start="1"/>
      <w:cols w:space="425" w:num="1"/>
      <w:docGrid w:linePitch="4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国标小标宋-GB/T 2312">
    <w:altName w:val="方正小标宋简体"/>
    <w:panose1 w:val="02000500000000000000"/>
    <w:charset w:val="00"/>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38" w:rightChars="109"/>
      <w:jc w:val="right"/>
      <w:rPr>
        <w:rFonts w:ascii="宋体" w:hAnsi="宋体"/>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76" w:wrap="around" w:vAnchor="text" w:hAnchor="margin" w:xAlign="outside" w:y="8"/>
      <w:ind w:left="139" w:leftChars="45" w:firstLine="196" w:firstLineChars="70"/>
      <w:rPr>
        <w:rStyle w:val="13"/>
        <w:sz w:val="28"/>
        <w:szCs w:val="28"/>
      </w:rPr>
    </w:pPr>
    <w:r>
      <w:rPr>
        <w:rFonts w:hint="eastAsia"/>
        <w:sz w:val="28"/>
        <w:szCs w:val="28"/>
      </w:rPr>
      <w:t>—</w:t>
    </w:r>
    <w:r>
      <w:rPr>
        <w:rStyle w:val="13"/>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Style w:val="13"/>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2</w:t>
    </w:r>
    <w:r>
      <w:rPr>
        <w:rStyle w:val="13"/>
        <w:rFonts w:hint="eastAsia" w:asciiTheme="minorEastAsia" w:hAnsiTheme="minorEastAsia" w:eastAsiaTheme="minorEastAsia" w:cstheme="minorEastAsia"/>
        <w:sz w:val="28"/>
        <w:szCs w:val="28"/>
      </w:rPr>
      <w:fldChar w:fldCharType="end"/>
    </w:r>
    <w:r>
      <w:rPr>
        <w:rFonts w:hint="eastAsia"/>
        <w:sz w:val="28"/>
        <w:szCs w:val="28"/>
      </w:rPr>
      <w:t>—</w:t>
    </w:r>
  </w:p>
  <w:p>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91"/>
    <w:rsid w:val="0003451B"/>
    <w:rsid w:val="00055BA3"/>
    <w:rsid w:val="000627D4"/>
    <w:rsid w:val="00066C54"/>
    <w:rsid w:val="000808D6"/>
    <w:rsid w:val="00085775"/>
    <w:rsid w:val="000929E4"/>
    <w:rsid w:val="00093234"/>
    <w:rsid w:val="000C3C4C"/>
    <w:rsid w:val="000D6ED5"/>
    <w:rsid w:val="000F14E0"/>
    <w:rsid w:val="00115C8A"/>
    <w:rsid w:val="001205CE"/>
    <w:rsid w:val="001237A2"/>
    <w:rsid w:val="001275B1"/>
    <w:rsid w:val="001337D3"/>
    <w:rsid w:val="00141358"/>
    <w:rsid w:val="00146212"/>
    <w:rsid w:val="001668BB"/>
    <w:rsid w:val="00171216"/>
    <w:rsid w:val="001B48C4"/>
    <w:rsid w:val="001C44F7"/>
    <w:rsid w:val="001D7CEC"/>
    <w:rsid w:val="001F515D"/>
    <w:rsid w:val="001F7C1E"/>
    <w:rsid w:val="00203293"/>
    <w:rsid w:val="00231109"/>
    <w:rsid w:val="00245A77"/>
    <w:rsid w:val="002502E4"/>
    <w:rsid w:val="00253B99"/>
    <w:rsid w:val="00267D31"/>
    <w:rsid w:val="00271B82"/>
    <w:rsid w:val="00285B2C"/>
    <w:rsid w:val="002B3562"/>
    <w:rsid w:val="002C0C6C"/>
    <w:rsid w:val="002C522F"/>
    <w:rsid w:val="002C60E8"/>
    <w:rsid w:val="002E3CF4"/>
    <w:rsid w:val="00360BA8"/>
    <w:rsid w:val="00362D92"/>
    <w:rsid w:val="003B2D4F"/>
    <w:rsid w:val="003B6DE9"/>
    <w:rsid w:val="003D647A"/>
    <w:rsid w:val="003E0350"/>
    <w:rsid w:val="003E2C27"/>
    <w:rsid w:val="00400460"/>
    <w:rsid w:val="0043380A"/>
    <w:rsid w:val="00435463"/>
    <w:rsid w:val="00456BA5"/>
    <w:rsid w:val="004628D8"/>
    <w:rsid w:val="0047131C"/>
    <w:rsid w:val="00494FB7"/>
    <w:rsid w:val="004955DB"/>
    <w:rsid w:val="00497AAF"/>
    <w:rsid w:val="004B564C"/>
    <w:rsid w:val="004C008E"/>
    <w:rsid w:val="004E5846"/>
    <w:rsid w:val="004E7D83"/>
    <w:rsid w:val="004F220E"/>
    <w:rsid w:val="004F6A10"/>
    <w:rsid w:val="00507AF0"/>
    <w:rsid w:val="00517AA7"/>
    <w:rsid w:val="00520067"/>
    <w:rsid w:val="00526FC2"/>
    <w:rsid w:val="00527B6D"/>
    <w:rsid w:val="005444C3"/>
    <w:rsid w:val="005530CC"/>
    <w:rsid w:val="00571773"/>
    <w:rsid w:val="00582286"/>
    <w:rsid w:val="005A364E"/>
    <w:rsid w:val="005A7BEA"/>
    <w:rsid w:val="005B0461"/>
    <w:rsid w:val="005B7348"/>
    <w:rsid w:val="005C0E2C"/>
    <w:rsid w:val="005C34A9"/>
    <w:rsid w:val="005D4BAF"/>
    <w:rsid w:val="005D4F01"/>
    <w:rsid w:val="005E6E8F"/>
    <w:rsid w:val="00603AFD"/>
    <w:rsid w:val="00620962"/>
    <w:rsid w:val="00630DFB"/>
    <w:rsid w:val="00664F0E"/>
    <w:rsid w:val="00666D86"/>
    <w:rsid w:val="00675DA4"/>
    <w:rsid w:val="00685FF6"/>
    <w:rsid w:val="00696B4D"/>
    <w:rsid w:val="006B41A4"/>
    <w:rsid w:val="006F1790"/>
    <w:rsid w:val="00710CDA"/>
    <w:rsid w:val="00714BDA"/>
    <w:rsid w:val="0071587F"/>
    <w:rsid w:val="00716039"/>
    <w:rsid w:val="0071639A"/>
    <w:rsid w:val="00716AA3"/>
    <w:rsid w:val="0075376E"/>
    <w:rsid w:val="00760330"/>
    <w:rsid w:val="007625D0"/>
    <w:rsid w:val="00764D02"/>
    <w:rsid w:val="00767D8F"/>
    <w:rsid w:val="00771295"/>
    <w:rsid w:val="007A2DBF"/>
    <w:rsid w:val="007D730B"/>
    <w:rsid w:val="007F36B1"/>
    <w:rsid w:val="007F763D"/>
    <w:rsid w:val="008015DD"/>
    <w:rsid w:val="00807BFE"/>
    <w:rsid w:val="008258D3"/>
    <w:rsid w:val="00832554"/>
    <w:rsid w:val="00837B41"/>
    <w:rsid w:val="00840B47"/>
    <w:rsid w:val="00842E9E"/>
    <w:rsid w:val="008823C7"/>
    <w:rsid w:val="00893EC8"/>
    <w:rsid w:val="008A10A7"/>
    <w:rsid w:val="008B74BF"/>
    <w:rsid w:val="008D2F53"/>
    <w:rsid w:val="008D5E6B"/>
    <w:rsid w:val="008E0A72"/>
    <w:rsid w:val="008F5B4A"/>
    <w:rsid w:val="00917F16"/>
    <w:rsid w:val="009219D9"/>
    <w:rsid w:val="009562F7"/>
    <w:rsid w:val="009871B8"/>
    <w:rsid w:val="0098732A"/>
    <w:rsid w:val="009C46C1"/>
    <w:rsid w:val="009C7459"/>
    <w:rsid w:val="009F1F2D"/>
    <w:rsid w:val="00A16EB1"/>
    <w:rsid w:val="00A2351A"/>
    <w:rsid w:val="00A2597C"/>
    <w:rsid w:val="00A44595"/>
    <w:rsid w:val="00A454BF"/>
    <w:rsid w:val="00A47932"/>
    <w:rsid w:val="00A57E13"/>
    <w:rsid w:val="00A676EE"/>
    <w:rsid w:val="00A70264"/>
    <w:rsid w:val="00A85E87"/>
    <w:rsid w:val="00A97240"/>
    <w:rsid w:val="00AC19E6"/>
    <w:rsid w:val="00AD2E8F"/>
    <w:rsid w:val="00B01C36"/>
    <w:rsid w:val="00B07A38"/>
    <w:rsid w:val="00B1783B"/>
    <w:rsid w:val="00B21EBE"/>
    <w:rsid w:val="00B93D17"/>
    <w:rsid w:val="00B9724C"/>
    <w:rsid w:val="00BA16BA"/>
    <w:rsid w:val="00BB4BC7"/>
    <w:rsid w:val="00BD41FB"/>
    <w:rsid w:val="00BF1B4F"/>
    <w:rsid w:val="00BF22B4"/>
    <w:rsid w:val="00C1186C"/>
    <w:rsid w:val="00C32B00"/>
    <w:rsid w:val="00C44466"/>
    <w:rsid w:val="00C6193F"/>
    <w:rsid w:val="00C66308"/>
    <w:rsid w:val="00C67B01"/>
    <w:rsid w:val="00C87AD1"/>
    <w:rsid w:val="00C9383E"/>
    <w:rsid w:val="00CA4C94"/>
    <w:rsid w:val="00CE68B9"/>
    <w:rsid w:val="00D1262B"/>
    <w:rsid w:val="00D15BE5"/>
    <w:rsid w:val="00D2753B"/>
    <w:rsid w:val="00D32DB4"/>
    <w:rsid w:val="00D56C91"/>
    <w:rsid w:val="00D86F68"/>
    <w:rsid w:val="00D97718"/>
    <w:rsid w:val="00DA4280"/>
    <w:rsid w:val="00DA46DF"/>
    <w:rsid w:val="00DA4735"/>
    <w:rsid w:val="00DB1150"/>
    <w:rsid w:val="00DD3C0B"/>
    <w:rsid w:val="00DE7E7A"/>
    <w:rsid w:val="00DF0113"/>
    <w:rsid w:val="00DF1E7C"/>
    <w:rsid w:val="00E04296"/>
    <w:rsid w:val="00E07C26"/>
    <w:rsid w:val="00E24107"/>
    <w:rsid w:val="00E2545B"/>
    <w:rsid w:val="00E30F5E"/>
    <w:rsid w:val="00E37E06"/>
    <w:rsid w:val="00E42316"/>
    <w:rsid w:val="00E4240A"/>
    <w:rsid w:val="00E9156F"/>
    <w:rsid w:val="00EB5FF3"/>
    <w:rsid w:val="00EC5A7A"/>
    <w:rsid w:val="00ED51E7"/>
    <w:rsid w:val="00EE4226"/>
    <w:rsid w:val="00F06A6C"/>
    <w:rsid w:val="00F34915"/>
    <w:rsid w:val="00F37166"/>
    <w:rsid w:val="00F4475E"/>
    <w:rsid w:val="00F722C4"/>
    <w:rsid w:val="00F924BB"/>
    <w:rsid w:val="00FA22D9"/>
    <w:rsid w:val="00FD0F3E"/>
    <w:rsid w:val="00FF3D2E"/>
    <w:rsid w:val="1D7E720B"/>
    <w:rsid w:val="1DBBB096"/>
    <w:rsid w:val="263FE6E0"/>
    <w:rsid w:val="2F576D7E"/>
    <w:rsid w:val="2FF7D0C5"/>
    <w:rsid w:val="31D78E14"/>
    <w:rsid w:val="33B94D52"/>
    <w:rsid w:val="37FB1E90"/>
    <w:rsid w:val="3AFF45D7"/>
    <w:rsid w:val="3BF37EFD"/>
    <w:rsid w:val="3CAD31C2"/>
    <w:rsid w:val="3CDFD4EB"/>
    <w:rsid w:val="3DBF27DA"/>
    <w:rsid w:val="3EFDFAD1"/>
    <w:rsid w:val="43FFB1BA"/>
    <w:rsid w:val="4FF7BC0E"/>
    <w:rsid w:val="4FFFF4B8"/>
    <w:rsid w:val="594F2037"/>
    <w:rsid w:val="5BFF997D"/>
    <w:rsid w:val="5F740516"/>
    <w:rsid w:val="5F95B47D"/>
    <w:rsid w:val="5FE724DD"/>
    <w:rsid w:val="67FAAB61"/>
    <w:rsid w:val="6DD2B1CF"/>
    <w:rsid w:val="6DED506A"/>
    <w:rsid w:val="6FB7C3BA"/>
    <w:rsid w:val="73F9E8E1"/>
    <w:rsid w:val="744B7093"/>
    <w:rsid w:val="76EF52BD"/>
    <w:rsid w:val="77E65D46"/>
    <w:rsid w:val="7B7B8930"/>
    <w:rsid w:val="7BFD3661"/>
    <w:rsid w:val="7C468D11"/>
    <w:rsid w:val="7CFCC817"/>
    <w:rsid w:val="7DDEFE86"/>
    <w:rsid w:val="7F7A81D8"/>
    <w:rsid w:val="7FAF5421"/>
    <w:rsid w:val="7FFE9397"/>
    <w:rsid w:val="8BF72DDB"/>
    <w:rsid w:val="9FA70FC4"/>
    <w:rsid w:val="B7753FDF"/>
    <w:rsid w:val="B7FF3D2E"/>
    <w:rsid w:val="B97799B6"/>
    <w:rsid w:val="BFCEA0A6"/>
    <w:rsid w:val="C9FFA680"/>
    <w:rsid w:val="D7FEA66E"/>
    <w:rsid w:val="D7FFA7D4"/>
    <w:rsid w:val="D9FFBD79"/>
    <w:rsid w:val="DA738133"/>
    <w:rsid w:val="DCDF124E"/>
    <w:rsid w:val="DFFF8616"/>
    <w:rsid w:val="E1EFD5F4"/>
    <w:rsid w:val="E5F69EE2"/>
    <w:rsid w:val="E9FBA963"/>
    <w:rsid w:val="EFD551EF"/>
    <w:rsid w:val="F5BEE0A7"/>
    <w:rsid w:val="FA955EA5"/>
    <w:rsid w:val="FBAB46F0"/>
    <w:rsid w:val="FBFF3745"/>
    <w:rsid w:val="FD9FEFC5"/>
    <w:rsid w:val="FEBB4F4D"/>
    <w:rsid w:val="FEEBD101"/>
    <w:rsid w:val="FF376861"/>
    <w:rsid w:val="FFC8EEA5"/>
    <w:rsid w:val="FFDF3700"/>
    <w:rsid w:val="FFF539A4"/>
    <w:rsid w:val="FFFBD43E"/>
    <w:rsid w:val="FFFD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34" w:lineRule="atLeast"/>
      <w:jc w:val="both"/>
      <w:textAlignment w:val="baseline"/>
    </w:pPr>
    <w:rPr>
      <w:rFonts w:ascii="Times New Roman" w:hAnsi="Times New Roman" w:eastAsia="仿宋_GB2312" w:cs="Times New Roman"/>
      <w:color w:val="000000"/>
      <w:sz w:val="31"/>
      <w:u w:color="000000"/>
      <w:lang w:val="en-US" w:eastAsia="zh-CN" w:bidi="ar-SA"/>
    </w:rPr>
  </w:style>
  <w:style w:type="paragraph" w:styleId="2">
    <w:name w:val="heading 2"/>
    <w:basedOn w:val="1"/>
    <w:next w:val="1"/>
    <w:qFormat/>
    <w:uiPriority w:val="9"/>
    <w:pPr>
      <w:keepLines/>
      <w:spacing w:line="579" w:lineRule="exact"/>
      <w:jc w:val="center"/>
      <w:outlineLvl w:val="1"/>
    </w:pPr>
    <w:rPr>
      <w:rFonts w:ascii="Cambria" w:hAnsi="Cambria" w:eastAsia="方正小标宋简体"/>
      <w:bCs/>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2"/>
    <w:qFormat/>
    <w:uiPriority w:val="0"/>
    <w:rPr>
      <w:rFonts w:ascii="宋体" w:eastAsia="宋体"/>
      <w:sz w:val="18"/>
      <w:szCs w:val="18"/>
    </w:rPr>
  </w:style>
  <w:style w:type="paragraph" w:styleId="4">
    <w:name w:val="Body Text"/>
    <w:basedOn w:val="1"/>
    <w:unhideWhenUsed/>
    <w:qFormat/>
    <w:uiPriority w:val="1"/>
    <w:pPr>
      <w:spacing w:beforeLines="0" w:afterLines="0"/>
      <w:ind w:left="120" w:right="257" w:firstLine="640"/>
      <w:jc w:val="both"/>
    </w:pPr>
    <w:rPr>
      <w:rFonts w:hint="eastAsia"/>
      <w:sz w:val="32"/>
      <w:szCs w:val="24"/>
    </w:rPr>
  </w:style>
  <w:style w:type="paragraph" w:styleId="5">
    <w:name w:val="Date"/>
    <w:basedOn w:val="1"/>
    <w:next w:val="1"/>
    <w:qFormat/>
    <w:uiPriority w:val="0"/>
    <w:pPr>
      <w:spacing w:line="351" w:lineRule="atLeast"/>
      <w:ind w:left="102" w:firstLine="419"/>
    </w:pPr>
    <w:rPr>
      <w:rFonts w:eastAsia="宋体"/>
      <w:sz w:val="21"/>
    </w:rPr>
  </w:style>
  <w:style w:type="paragraph" w:styleId="6">
    <w:name w:val="Balloon Text"/>
    <w:basedOn w:val="1"/>
    <w:qFormat/>
    <w:uiPriority w:val="0"/>
    <w:pPr>
      <w:spacing w:line="351" w:lineRule="atLeast"/>
      <w:ind w:firstLine="419"/>
    </w:pPr>
    <w:rPr>
      <w:rFonts w:eastAsia="宋体"/>
      <w:sz w:val="18"/>
    </w:rPr>
  </w:style>
  <w:style w:type="paragraph" w:styleId="7">
    <w:name w:val="footer"/>
    <w:basedOn w:val="1"/>
    <w:link w:val="30"/>
    <w:qFormat/>
    <w:uiPriority w:val="99"/>
    <w:pPr>
      <w:tabs>
        <w:tab w:val="left" w:pos="4149"/>
        <w:tab w:val="left" w:pos="8016"/>
      </w:tabs>
      <w:spacing w:line="351" w:lineRule="atLeast"/>
      <w:ind w:firstLine="419"/>
      <w:jc w:val="left"/>
    </w:pPr>
    <w:rPr>
      <w:rFonts w:eastAsia="宋体"/>
      <w:sz w:val="18"/>
    </w:rPr>
  </w:style>
  <w:style w:type="paragraph" w:styleId="8">
    <w:name w:val="header"/>
    <w:basedOn w:val="1"/>
    <w:link w:val="31"/>
    <w:qFormat/>
    <w:uiPriority w:val="99"/>
    <w:pPr>
      <w:tabs>
        <w:tab w:val="left" w:pos="4149"/>
        <w:tab w:val="left" w:pos="8016"/>
      </w:tabs>
      <w:spacing w:line="351" w:lineRule="atLeast"/>
      <w:ind w:firstLine="419"/>
      <w:jc w:val="center"/>
    </w:pPr>
    <w:rPr>
      <w:rFonts w:eastAsia="宋体"/>
      <w:sz w:val="18"/>
    </w:rPr>
  </w:style>
  <w:style w:type="paragraph" w:styleId="9">
    <w:name w:val="Normal (Web)"/>
    <w:basedOn w:val="1"/>
    <w:unhideWhenUsed/>
    <w:qFormat/>
    <w:uiPriority w:val="0"/>
    <w:pPr>
      <w:widowControl/>
      <w:spacing w:before="100" w:beforeAutospacing="1" w:after="100" w:afterAutospacing="1" w:line="578" w:lineRule="atLeast"/>
      <w:jc w:val="left"/>
    </w:pPr>
    <w:rPr>
      <w:rFonts w:ascii="Times New Roman" w:hAnsi="Times New Roman"/>
      <w:color w:val="000000"/>
      <w:kern w:val="0"/>
      <w:sz w:val="24"/>
      <w:szCs w:val="20"/>
      <w:u w:val="none" w:color="000000"/>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qFormat/>
    <w:uiPriority w:val="0"/>
    <w:rPr>
      <w:rFonts w:ascii="Times New Roman" w:eastAsia="宋体"/>
      <w:color w:val="000000"/>
      <w:spacing w:val="0"/>
      <w:w w:val="100"/>
      <w:sz w:val="21"/>
      <w:u w:val="none" w:color="000000"/>
      <w:vertAlign w:val="baseline"/>
      <w:lang w:val="en-US" w:eastAsia="zh-CN"/>
    </w:rPr>
  </w:style>
  <w:style w:type="paragraph" w:customStyle="1" w:styleId="14">
    <w:name w:val="Char"/>
    <w:basedOn w:val="1"/>
    <w:qFormat/>
    <w:uiPriority w:val="0"/>
    <w:pPr>
      <w:widowControl w:val="0"/>
      <w:spacing w:line="240" w:lineRule="atLeast"/>
      <w:ind w:left="420" w:firstLine="420"/>
      <w:textAlignment w:val="auto"/>
    </w:pPr>
    <w:rPr>
      <w:color w:val="auto"/>
      <w:sz w:val="32"/>
      <w:szCs w:val="21"/>
    </w:rPr>
  </w:style>
  <w:style w:type="character" w:customStyle="1" w:styleId="15">
    <w:name w:val="链接"/>
    <w:qFormat/>
    <w:uiPriority w:val="0"/>
    <w:rPr>
      <w:rFonts w:ascii="Times New Roman" w:eastAsia="宋体"/>
      <w:color w:val="0000FF"/>
      <w:sz w:val="21"/>
      <w:u w:val="single" w:color="0000FF"/>
      <w:vertAlign w:val="baseline"/>
      <w:lang w:val="en-US" w:eastAsia="zh-CN"/>
    </w:rPr>
  </w:style>
  <w:style w:type="paragraph" w:customStyle="1" w:styleId="16">
    <w:name w:val="文章总标题"/>
    <w:basedOn w:val="1"/>
    <w:next w:val="17"/>
    <w:qFormat/>
    <w:uiPriority w:val="0"/>
    <w:pPr>
      <w:spacing w:before="566" w:after="544" w:line="566" w:lineRule="atLeast"/>
      <w:jc w:val="center"/>
    </w:pPr>
    <w:rPr>
      <w:rFonts w:ascii="Arial" w:eastAsia="黑体"/>
      <w:sz w:val="54"/>
    </w:rPr>
  </w:style>
  <w:style w:type="paragraph" w:customStyle="1" w:styleId="17">
    <w:name w:val="文章副标题"/>
    <w:basedOn w:val="1"/>
    <w:next w:val="18"/>
    <w:qFormat/>
    <w:uiPriority w:val="0"/>
    <w:pPr>
      <w:spacing w:before="187" w:after="175" w:line="374" w:lineRule="atLeast"/>
      <w:jc w:val="center"/>
    </w:pPr>
    <w:rPr>
      <w:rFonts w:eastAsia="宋体"/>
      <w:sz w:val="36"/>
    </w:rPr>
  </w:style>
  <w:style w:type="paragraph" w:customStyle="1" w:styleId="18">
    <w:name w:val="章标题"/>
    <w:basedOn w:val="1"/>
    <w:next w:val="19"/>
    <w:qFormat/>
    <w:uiPriority w:val="0"/>
    <w:pPr>
      <w:spacing w:before="158" w:after="153" w:line="323" w:lineRule="atLeast"/>
      <w:jc w:val="center"/>
    </w:pPr>
    <w:rPr>
      <w:rFonts w:ascii="Arial" w:eastAsia="黑体"/>
    </w:rPr>
  </w:style>
  <w:style w:type="paragraph" w:customStyle="1" w:styleId="19">
    <w:name w:val="节标题"/>
    <w:basedOn w:val="1"/>
    <w:next w:val="20"/>
    <w:qFormat/>
    <w:uiPriority w:val="0"/>
    <w:pPr>
      <w:spacing w:line="289" w:lineRule="atLeast"/>
      <w:jc w:val="center"/>
    </w:pPr>
    <w:rPr>
      <w:rFonts w:eastAsia="宋体"/>
      <w:sz w:val="28"/>
    </w:rPr>
  </w:style>
  <w:style w:type="paragraph" w:customStyle="1" w:styleId="20">
    <w:name w:val="小节标题"/>
    <w:basedOn w:val="1"/>
    <w:next w:val="1"/>
    <w:qFormat/>
    <w:uiPriority w:val="0"/>
    <w:pPr>
      <w:spacing w:before="175" w:after="102" w:line="351" w:lineRule="atLeast"/>
    </w:pPr>
    <w:rPr>
      <w:rFonts w:eastAsia="黑体"/>
      <w:sz w:val="21"/>
    </w:rPr>
  </w:style>
  <w:style w:type="paragraph" w:customStyle="1" w:styleId="21">
    <w:name w:val="目录标题"/>
    <w:basedOn w:val="1"/>
    <w:next w:val="1"/>
    <w:qFormat/>
    <w:uiPriority w:val="0"/>
    <w:pPr>
      <w:spacing w:before="215" w:after="419" w:line="436" w:lineRule="atLeast"/>
      <w:ind w:firstLine="419"/>
      <w:jc w:val="center"/>
    </w:pPr>
    <w:rPr>
      <w:rFonts w:ascii="Arial" w:eastAsia="黑体"/>
      <w:spacing w:val="283"/>
      <w:sz w:val="42"/>
    </w:rPr>
  </w:style>
  <w:style w:type="paragraph" w:customStyle="1" w:styleId="22">
    <w:name w:val="目录1"/>
    <w:basedOn w:val="1"/>
    <w:next w:val="1"/>
    <w:qFormat/>
    <w:uiPriority w:val="0"/>
    <w:pPr>
      <w:tabs>
        <w:tab w:val="left" w:leader="dot" w:pos="8503"/>
      </w:tabs>
      <w:spacing w:after="102" w:line="215" w:lineRule="atLeast"/>
      <w:ind w:firstLine="419"/>
      <w:jc w:val="left"/>
    </w:pPr>
    <w:rPr>
      <w:rFonts w:eastAsia="宋体"/>
      <w:sz w:val="21"/>
    </w:rPr>
  </w:style>
  <w:style w:type="paragraph" w:customStyle="1" w:styleId="23">
    <w:name w:val="目录2"/>
    <w:basedOn w:val="1"/>
    <w:next w:val="1"/>
    <w:qFormat/>
    <w:uiPriority w:val="0"/>
    <w:pPr>
      <w:tabs>
        <w:tab w:val="left" w:leader="dot" w:pos="8503"/>
      </w:tabs>
      <w:spacing w:line="317" w:lineRule="atLeast"/>
      <w:ind w:left="419" w:firstLine="419"/>
    </w:pPr>
    <w:rPr>
      <w:rFonts w:eastAsia="宋体"/>
      <w:sz w:val="21"/>
    </w:rPr>
  </w:style>
  <w:style w:type="paragraph" w:customStyle="1" w:styleId="24">
    <w:name w:val="目录4"/>
    <w:basedOn w:val="1"/>
    <w:next w:val="1"/>
    <w:qFormat/>
    <w:uiPriority w:val="0"/>
    <w:pPr>
      <w:tabs>
        <w:tab w:val="left" w:leader="dot" w:pos="8503"/>
      </w:tabs>
      <w:spacing w:line="317" w:lineRule="atLeast"/>
      <w:ind w:left="419" w:firstLine="629"/>
    </w:pPr>
    <w:rPr>
      <w:rFonts w:eastAsia="宋体"/>
      <w:sz w:val="21"/>
    </w:rPr>
  </w:style>
  <w:style w:type="paragraph" w:customStyle="1" w:styleId="25">
    <w:name w:val="目录3"/>
    <w:basedOn w:val="1"/>
    <w:next w:val="1"/>
    <w:qFormat/>
    <w:uiPriority w:val="0"/>
    <w:pPr>
      <w:tabs>
        <w:tab w:val="left" w:leader="dot" w:pos="8503"/>
      </w:tabs>
      <w:spacing w:line="317" w:lineRule="atLeast"/>
      <w:ind w:left="419" w:firstLine="419"/>
    </w:pPr>
    <w:rPr>
      <w:rFonts w:eastAsia="宋体"/>
      <w:sz w:val="21"/>
    </w:rPr>
  </w:style>
  <w:style w:type="paragraph" w:customStyle="1" w:styleId="26">
    <w:name w:val="新1"/>
    <w:basedOn w:val="1"/>
    <w:qFormat/>
    <w:uiPriority w:val="0"/>
    <w:pPr>
      <w:spacing w:line="566" w:lineRule="atLeast"/>
      <w:ind w:firstLine="623"/>
    </w:pPr>
    <w:rPr>
      <w:outline/>
      <w14:textOutline w14:w="9525" w14:cap="flat" w14:cmpd="sng" w14:algn="ctr">
        <w14:solidFill>
          <w14:srgbClr w14:val="000000"/>
        </w14:solidFill>
        <w14:prstDash w14:val="solid"/>
        <w14:round/>
      </w14:textOutline>
      <w14:textFill>
        <w14:noFill/>
      </w14:textFill>
    </w:rPr>
  </w:style>
  <w:style w:type="paragraph" w:customStyle="1" w:styleId="27">
    <w:name w:val="普通表格1"/>
    <w:qFormat/>
    <w:uiPriority w:val="0"/>
    <w:pPr>
      <w:spacing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paragraph" w:customStyle="1" w:styleId="28">
    <w:name w:val="无列表1"/>
    <w:qFormat/>
    <w:uiPriority w:val="0"/>
    <w:pPr>
      <w:spacing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paragraph" w:customStyle="1" w:styleId="29">
    <w:name w:val="Char1"/>
    <w:basedOn w:val="1"/>
    <w:qFormat/>
    <w:uiPriority w:val="0"/>
    <w:pPr>
      <w:widowControl w:val="0"/>
      <w:snapToGrid w:val="0"/>
      <w:spacing w:line="240" w:lineRule="atLeast"/>
      <w:ind w:left="420" w:firstLine="420"/>
      <w:textAlignment w:val="auto"/>
    </w:pPr>
    <w:rPr>
      <w:color w:val="auto"/>
      <w:sz w:val="32"/>
      <w:szCs w:val="21"/>
    </w:rPr>
  </w:style>
  <w:style w:type="character" w:customStyle="1" w:styleId="30">
    <w:name w:val="页脚 Char"/>
    <w:link w:val="7"/>
    <w:qFormat/>
    <w:uiPriority w:val="99"/>
    <w:rPr>
      <w:color w:val="000000"/>
      <w:sz w:val="18"/>
      <w:u w:color="000000"/>
    </w:rPr>
  </w:style>
  <w:style w:type="character" w:customStyle="1" w:styleId="31">
    <w:name w:val="页眉 Char"/>
    <w:link w:val="8"/>
    <w:qFormat/>
    <w:uiPriority w:val="99"/>
    <w:rPr>
      <w:color w:val="000000"/>
      <w:sz w:val="18"/>
      <w:u w:color="000000"/>
    </w:rPr>
  </w:style>
  <w:style w:type="character" w:customStyle="1" w:styleId="32">
    <w:name w:val="文档结构图 Char"/>
    <w:basedOn w:val="12"/>
    <w:link w:val="3"/>
    <w:qFormat/>
    <w:uiPriority w:val="0"/>
    <w:rPr>
      <w:rFonts w:ascii="宋体"/>
      <w:color w:val="000000"/>
      <w:sz w:val="18"/>
      <w:szCs w:val="18"/>
      <w:u w:color="000000"/>
    </w:rPr>
  </w:style>
  <w:style w:type="character" w:customStyle="1" w:styleId="33">
    <w:name w:val="font41"/>
    <w:basedOn w:val="12"/>
    <w:qFormat/>
    <w:uiPriority w:val="0"/>
    <w:rPr>
      <w:rFonts w:hint="eastAsia" w:ascii="黑体" w:hAnsi="宋体" w:eastAsia="黑体" w:cs="黑体"/>
      <w:color w:val="000000"/>
      <w:sz w:val="36"/>
      <w:szCs w:val="36"/>
      <w:u w:val="none"/>
    </w:rPr>
  </w:style>
  <w:style w:type="character" w:customStyle="1" w:styleId="34">
    <w:name w:val="font51"/>
    <w:basedOn w:val="12"/>
    <w:qFormat/>
    <w:uiPriority w:val="0"/>
    <w:rPr>
      <w:rFonts w:ascii="方正小标宋简体" w:hAnsi="方正小标宋简体" w:eastAsia="方正小标宋简体" w:cs="方正小标宋简体"/>
      <w:color w:val="000000"/>
      <w:sz w:val="36"/>
      <w:szCs w:val="36"/>
      <w:u w:val="none"/>
    </w:rPr>
  </w:style>
  <w:style w:type="character" w:customStyle="1" w:styleId="35">
    <w:name w:val="font21"/>
    <w:basedOn w:val="12"/>
    <w:qFormat/>
    <w:uiPriority w:val="0"/>
    <w:rPr>
      <w:rFonts w:ascii="方正小标宋简体" w:hAnsi="方正小标宋简体" w:eastAsia="方正小标宋简体" w:cs="方正小标宋简体"/>
      <w:color w:val="000000"/>
      <w:sz w:val="36"/>
      <w:szCs w:val="36"/>
      <w:u w:val="none"/>
    </w:rPr>
  </w:style>
  <w:style w:type="paragraph" w:customStyle="1" w:styleId="36">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福州军区</Company>
  <Pages>2</Pages>
  <Words>23</Words>
  <Characters>136</Characters>
  <Lines>1</Lines>
  <Paragraphs>1</Paragraphs>
  <TotalTime>13</TotalTime>
  <ScaleCrop>false</ScaleCrop>
  <LinksUpToDate>false</LinksUpToDate>
  <CharactersWithSpaces>158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2024-10-31T00:26:00Z</dcterms:created>
  <dc:creator>FJZT</dc:creator>
  <cp:lastModifiedBy>fzjbq</cp:lastModifiedBy>
  <cp:lastPrinted>2026-06-05T01:50:00Z</cp:lastPrinted>
  <dcterms:modified xsi:type="dcterms:W3CDTF">2026-06-05T08:20:44Z</dcterms:modified>
  <dc:title>0001                                              秘  密</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BBBE78ABF2152B3822F3206A390C5612_43</vt:lpwstr>
  </property>
</Properties>
</file>