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福州市医疗保障局关于调整连续动态血糖监测等部分检查检验类医疗服务项目价格的通知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福州市医疗保障局关于调整连续动态血糖监测等部分检查检验类医疗服务项目价格的通知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（榕医保规〔2025〕10号）</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一、规范治理背景</w:t>
      </w: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　　进一步规范医疗服务价格管理，压实检查检验项目</w:t>
      </w:r>
      <w:r>
        <w:rPr>
          <w:rFonts w:hint="eastAsia" w:ascii="仿宋_GB2312" w:hAnsi="仿宋_GB2312" w:eastAsia="仿宋_GB2312" w:cs="仿宋_GB2312"/>
          <w:sz w:val="32"/>
          <w:szCs w:val="32"/>
        </w:rPr>
        <w:t>价格，优化医疗服务价格结构，推进地区间医疗服务价格水平相对均衡，根据国家医保局关于开展医疗服务价格规范治理（第六批）通知和《福建省医疗保障局关于调整在榕省属公立医院连续动态血糖监测等部分检查检验类医疗服务项目价格的通知》（闽医保〔2025〕65号）要求，结合我市实际，对我市公立医疗机构连续动态血糖监测等部分检查检验类医疗服务项目价格进行了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二、主要内容</w:t>
      </w:r>
    </w:p>
    <w:p>
      <w:pP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（一）</w:t>
      </w:r>
      <w:r>
        <w:rPr>
          <w:rFonts w:hint="eastAsia" w:ascii="仿宋_GB2312" w:hAnsi="仿宋_GB2312" w:eastAsia="仿宋_GB2312" w:cs="仿宋_GB2312"/>
          <w:b w:val="0"/>
          <w:bCs/>
          <w:color w:val="auto"/>
          <w:spacing w:val="0"/>
          <w:sz w:val="32"/>
          <w:szCs w:val="32"/>
          <w:lang w:val="en-US" w:eastAsia="zh-CN"/>
        </w:rPr>
        <w:t>调整</w:t>
      </w:r>
      <w:r>
        <w:rPr>
          <w:rFonts w:hint="eastAsia" w:ascii="仿宋_GB2312" w:hAnsi="仿宋_GB2312" w:eastAsia="仿宋_GB2312" w:cs="仿宋_GB2312"/>
          <w:b w:val="0"/>
          <w:bCs/>
          <w:color w:val="auto"/>
          <w:spacing w:val="0"/>
          <w:sz w:val="32"/>
          <w:szCs w:val="32"/>
          <w:highlight w:val="none"/>
          <w:lang w:val="en" w:eastAsia="zh-CN"/>
        </w:rPr>
        <w:t>连续动态血糖监测</w:t>
      </w:r>
      <w:r>
        <w:rPr>
          <w:rFonts w:hint="eastAsia" w:ascii="仿宋_GB2312" w:hAnsi="仿宋_GB2312" w:eastAsia="仿宋_GB2312" w:cs="仿宋_GB2312"/>
          <w:b w:val="0"/>
          <w:bCs/>
          <w:color w:val="auto"/>
          <w:spacing w:val="0"/>
          <w:sz w:val="32"/>
          <w:szCs w:val="32"/>
          <w:lang w:eastAsia="zh-CN"/>
        </w:rPr>
        <w:t>项目价格；用药指导的基因检测项目设立结核分枝杆菌及利福平耐药基因核酸检测、结核分枝杆菌耐药基因检测</w:t>
      </w:r>
      <w:r>
        <w:rPr>
          <w:rFonts w:hint="eastAsia" w:ascii="仿宋_GB2312" w:hAnsi="仿宋_GB2312" w:eastAsia="仿宋_GB2312" w:cs="仿宋_GB2312"/>
          <w:b w:val="0"/>
          <w:bCs/>
          <w:color w:val="auto"/>
          <w:spacing w:val="0"/>
          <w:sz w:val="32"/>
          <w:szCs w:val="32"/>
          <w:lang w:val="en-US" w:eastAsia="zh-CN"/>
        </w:rPr>
        <w:t>2个分项，实行区分定价；各类病原体核酸测定项目设立</w:t>
      </w:r>
      <w:r>
        <w:rPr>
          <w:rFonts w:hint="eastAsia" w:ascii="仿宋_GB2312" w:hAnsi="仿宋_GB2312" w:eastAsia="仿宋_GB2312" w:cs="仿宋_GB2312"/>
          <w:b w:val="0"/>
          <w:bCs/>
          <w:color w:val="auto"/>
          <w:spacing w:val="0"/>
          <w:sz w:val="32"/>
          <w:szCs w:val="32"/>
          <w:lang w:eastAsia="zh-CN"/>
        </w:rPr>
        <w:t>结核分枝杆菌核酸检测</w:t>
      </w:r>
      <w:r>
        <w:rPr>
          <w:rFonts w:hint="eastAsia" w:ascii="仿宋_GB2312" w:hAnsi="仿宋_GB2312" w:eastAsia="仿宋_GB2312" w:cs="仿宋_GB2312"/>
          <w:b w:val="0"/>
          <w:bCs/>
          <w:color w:val="auto"/>
          <w:spacing w:val="0"/>
          <w:sz w:val="32"/>
          <w:szCs w:val="32"/>
          <w:lang w:val="en-US" w:eastAsia="zh-CN"/>
        </w:rPr>
        <w:t>分项并予以定价。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（二）停用连续动态血糖监测（72小时后，每增加1日）</w:t>
      </w:r>
      <w:r>
        <w:rPr>
          <w:rFonts w:hint="default" w:ascii="仿宋_GB2312" w:hAnsi="仿宋_GB2312" w:eastAsia="仿宋_GB2312" w:cs="仿宋_GB2312"/>
          <w:sz w:val="32"/>
          <w:szCs w:val="32"/>
        </w:rPr>
        <w:t>医疗服务</w:t>
      </w:r>
      <w:r>
        <w:rPr>
          <w:rFonts w:hint="eastAsia" w:ascii="仿宋_GB2312" w:hAnsi="仿宋_GB2312" w:eastAsia="仿宋_GB2312" w:cs="仿宋_GB2312"/>
          <w:sz w:val="32"/>
          <w:szCs w:val="32"/>
        </w:rPr>
        <w:t>项目。</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val="0"/>
          <w:bCs/>
          <w:color w:val="auto"/>
          <w:spacing w:val="0"/>
          <w:sz w:val="32"/>
          <w:szCs w:val="32"/>
          <w:lang w:val="en-US" w:eastAsia="zh-CN"/>
        </w:rPr>
        <w:t>价格调整后，医保支付政策保持不变</w:t>
      </w:r>
      <w:r>
        <w:rPr>
          <w:rFonts w:hint="default" w:ascii="仿宋_GB2312" w:hAnsi="仿宋_GB2312" w:eastAsia="仿宋_GB2312" w:cs="仿宋_GB2312"/>
          <w:b w:val="0"/>
          <w:bCs/>
          <w:color w:val="auto"/>
          <w:spacing w:val="0"/>
          <w:sz w:val="32"/>
          <w:szCs w:val="32"/>
          <w:lang w:eastAsia="zh-CN"/>
        </w:rPr>
        <w:t>。</w:t>
      </w:r>
      <w:r>
        <w:rPr>
          <w:rFonts w:hint="eastAsia" w:ascii="仿宋_GB2312" w:hAnsi="仿宋_GB2312" w:eastAsia="仿宋_GB2312" w:cs="仿宋_GB2312"/>
          <w:sz w:val="32"/>
          <w:szCs w:val="32"/>
        </w:rPr>
        <w:t>　　</w:t>
      </w:r>
    </w:p>
    <w:p>
      <w:pPr>
        <w:ind w:firstLine="640"/>
        <w:rPr>
          <w:rFonts w:hint="eastAsia" w:ascii="黑体" w:hAnsi="黑体" w:eastAsia="黑体" w:cs="黑体"/>
          <w:sz w:val="32"/>
          <w:szCs w:val="32"/>
        </w:rPr>
      </w:pPr>
      <w:r>
        <w:rPr>
          <w:rFonts w:hint="eastAsia" w:ascii="黑体" w:hAnsi="黑体" w:eastAsia="黑体" w:cs="黑体"/>
          <w:sz w:val="32"/>
          <w:szCs w:val="32"/>
        </w:rPr>
        <w:t>三、执行时间及相关要求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本通知自2025年</w:t>
      </w:r>
      <w:r>
        <w:rPr>
          <w:rFonts w:hint="default" w:ascii="仿宋_GB2312" w:hAnsi="仿宋_GB2312" w:eastAsia="仿宋_GB2312" w:cs="仿宋_GB2312"/>
          <w:sz w:val="32"/>
          <w:szCs w:val="32"/>
        </w:rPr>
        <w:t>10</w:t>
      </w:r>
      <w:r>
        <w:rPr>
          <w:rFonts w:hint="eastAsia" w:ascii="仿宋_GB2312" w:hAnsi="仿宋_GB2312" w:eastAsia="仿宋_GB2312" w:cs="仿宋_GB2312"/>
          <w:sz w:val="32"/>
          <w:szCs w:val="32"/>
        </w:rPr>
        <w:t>月15日起执行。</w:t>
      </w:r>
      <w:r>
        <w:rPr>
          <w:rFonts w:hint="default" w:ascii="仿宋_GB2312" w:hAnsi="仿宋_GB2312" w:eastAsia="仿宋_GB2312" w:cs="仿宋_GB2312"/>
          <w:sz w:val="32"/>
          <w:szCs w:val="32"/>
        </w:rPr>
        <w:t>福州</w:t>
      </w:r>
      <w:r>
        <w:rPr>
          <w:rFonts w:hint="eastAsia" w:ascii="仿宋_GB2312" w:hAnsi="仿宋_GB2312" w:eastAsia="仿宋_GB2312" w:cs="仿宋_GB2312"/>
          <w:sz w:val="32"/>
          <w:szCs w:val="32"/>
        </w:rPr>
        <w:t>市医疗保障部门要密切关注</w:t>
      </w:r>
      <w:r>
        <w:rPr>
          <w:rFonts w:hint="eastAsia" w:ascii="仿宋_GB2312" w:hAnsi="仿宋_GB2312" w:eastAsia="仿宋_GB2312" w:cs="仿宋_GB2312"/>
          <w:sz w:val="32"/>
          <w:szCs w:val="32"/>
          <w:lang w:val="en-US" w:eastAsia="zh-CN"/>
        </w:rPr>
        <w:t>连续动态血糖监测等部分检查检验类</w:t>
      </w:r>
      <w:r>
        <w:rPr>
          <w:rFonts w:hint="eastAsia" w:ascii="仿宋_GB2312" w:hAnsi="仿宋_GB2312" w:eastAsia="仿宋_GB2312" w:cs="仿宋_GB2312"/>
          <w:sz w:val="32"/>
          <w:szCs w:val="32"/>
        </w:rPr>
        <w:t>医疗服务项目价格规范治理后医疗服务量、医疗总费用等关键指标的变化情况，建立动态监测机制，确保价格规范治理工作平稳有序推进。</w:t>
      </w:r>
      <w:r>
        <w:rPr>
          <w:rFonts w:hint="default" w:ascii="仿宋_GB2312" w:hAnsi="仿宋_GB2312" w:eastAsia="仿宋_GB2312" w:cs="仿宋_GB2312"/>
          <w:sz w:val="32"/>
          <w:szCs w:val="32"/>
        </w:rPr>
        <w:t>全市</w:t>
      </w:r>
      <w:r>
        <w:rPr>
          <w:rFonts w:hint="eastAsia" w:ascii="仿宋_GB2312" w:hAnsi="仿宋_GB2312" w:eastAsia="仿宋_GB2312" w:cs="仿宋_GB2312"/>
          <w:sz w:val="32"/>
          <w:szCs w:val="32"/>
        </w:rPr>
        <w:t>相关医疗机构要严格执行透析类相关药品耗材集采中选结果，优先使用集采中选产品，体现集采政策惠民成效。各相关医疗机构要做好医疗服务价格公示，接受社会监督。</w:t>
      </w:r>
    </w:p>
    <w:p>
      <w:pP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解读处室：医药价格和采购处  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8C39B"/>
    <w:rsid w:val="2FBFD915"/>
    <w:rsid w:val="34601718"/>
    <w:rsid w:val="3CFFA198"/>
    <w:rsid w:val="4DFFB6BF"/>
    <w:rsid w:val="53C9A784"/>
    <w:rsid w:val="57CBA2D4"/>
    <w:rsid w:val="65DF2E8C"/>
    <w:rsid w:val="6FFF1FFD"/>
    <w:rsid w:val="77E7F374"/>
    <w:rsid w:val="77FA2013"/>
    <w:rsid w:val="9FD76A1C"/>
    <w:rsid w:val="A36F6168"/>
    <w:rsid w:val="B5F79632"/>
    <w:rsid w:val="BFFFBDC0"/>
    <w:rsid w:val="D7E771BD"/>
    <w:rsid w:val="DFFA34F3"/>
    <w:rsid w:val="EFAEB11B"/>
    <w:rsid w:val="F3DF2B38"/>
    <w:rsid w:val="F5BE24FC"/>
    <w:rsid w:val="F727BF41"/>
    <w:rsid w:val="F8FF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1</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linxp</dc:creator>
  <cp:lastModifiedBy>杨旸</cp:lastModifiedBy>
  <cp:lastPrinted>2025-07-16T17:27:00Z</cp:lastPrinted>
  <dcterms:modified xsi:type="dcterms:W3CDTF">2025-10-14T08:55:05Z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