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0F6F">
      <w:pPr>
        <w:pStyle w:val="18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textAlignment w:val="auto"/>
        <w:rPr>
          <w:rFonts w:hint="eastAsia"/>
        </w:rPr>
      </w:pPr>
      <w:r>
        <w:rPr>
          <w:rFonts w:hint="eastAsia"/>
        </w:rPr>
        <w:t>榕环评〔202</w:t>
      </w:r>
      <w:r>
        <w:rPr>
          <w:rFonts w:hint="eastAsia"/>
          <w:lang w:eastAsia="zh-CN"/>
        </w:rPr>
        <w:t>5</w:t>
      </w:r>
      <w:r>
        <w:rPr>
          <w:rFonts w:hint="eastAsia"/>
        </w:rPr>
        <w:t>〕</w:t>
      </w:r>
      <w:r>
        <w:rPr>
          <w:rFonts w:hint="eastAsia"/>
          <w:highlight w:val="none"/>
          <w:lang w:val="en-US" w:eastAsia="zh-CN"/>
        </w:rPr>
        <w:t>57</w:t>
      </w:r>
      <w:r>
        <w:rPr>
          <w:rFonts w:hint="eastAsia"/>
        </w:rPr>
        <w:t>号</w:t>
      </w:r>
    </w:p>
    <w:p w14:paraId="0433269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福州</w:t>
      </w:r>
      <w:r>
        <w:rPr>
          <w:rFonts w:hint="eastAsia"/>
          <w:lang w:eastAsia="zh-CN"/>
        </w:rPr>
        <w:t>市生态环境</w:t>
      </w:r>
      <w:r>
        <w:rPr>
          <w:rFonts w:hint="eastAsia"/>
        </w:rPr>
        <w:t>局</w:t>
      </w:r>
      <w:r>
        <w:rPr>
          <w:rFonts w:hint="eastAsia"/>
          <w:lang w:eastAsia="zh-CN"/>
        </w:rPr>
        <w:t>关于滨海大通道至龙田公路工程项目</w:t>
      </w:r>
      <w:r>
        <w:rPr>
          <w:rFonts w:hint="eastAsia"/>
        </w:rPr>
        <w:t>环境影响报告书的审批意见</w:t>
      </w:r>
    </w:p>
    <w:p w14:paraId="6513824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textAlignment w:val="auto"/>
        <w:rPr>
          <w:rFonts w:hint="eastAsia" w:eastAsia="仿宋_GB2312"/>
          <w:lang w:val="en-US" w:eastAsia="zh-CN"/>
        </w:rPr>
      </w:pPr>
    </w:p>
    <w:p w14:paraId="52FC3F9E"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</w:rPr>
      </w:pPr>
      <w:r>
        <w:rPr>
          <w:rFonts w:hint="eastAsia"/>
          <w:lang w:eastAsia="zh-CN"/>
        </w:rPr>
        <w:t>福清市交通运输局</w:t>
      </w:r>
      <w:r>
        <w:rPr>
          <w:rFonts w:hint="eastAsia"/>
        </w:rPr>
        <w:t>：</w:t>
      </w:r>
    </w:p>
    <w:p w14:paraId="563BD6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司报送的《滨海大通道至龙田公路工程项目环境影响报告书》（以下简称《报告书》）及申请审批报告收悉。根据《中华人民共和国环境影响评价法》第二十二条等规定，经组织技术审查，并征求福州市福清生态环境局意见，现提出审批意见如下：</w:t>
      </w:r>
    </w:p>
    <w:p w14:paraId="7F7E6F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highlight w:val="none"/>
          <w:lang w:val="en-US" w:eastAsia="zh-CN"/>
        </w:rPr>
        <w:t>滨海大通道至龙田公路工程项目位于福清市龙田镇，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起点与G228 平交，途经后园村，终点与金山路衔接、与龙湖路平交。路线全长2.3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km，路基宽度为26m，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道路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等级为一级公路。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建设内容包括：道路、给排水、电力照明、管线综合、交通、绿化工程等。</w:t>
      </w:r>
    </w:p>
    <w:p w14:paraId="6F57B9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根据《报告书》评价结论和福州市环境影响评价技术中心的技术评估报告（</w:t>
      </w:r>
      <w:r>
        <w:rPr>
          <w:rFonts w:hint="eastAsia"/>
          <w:highlight w:val="none"/>
          <w:lang w:val="en-US" w:eastAsia="zh-CN"/>
        </w:rPr>
        <w:t>编号2-2025-026</w:t>
      </w:r>
      <w:r>
        <w:rPr>
          <w:rFonts w:hint="eastAsia"/>
          <w:lang w:val="en-US" w:eastAsia="zh-CN"/>
        </w:rPr>
        <w:t>）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/>
        </w:rPr>
        <w:t>该</w:t>
      </w:r>
      <w:r>
        <w:rPr>
          <w:rFonts w:hint="eastAsia"/>
          <w:lang w:eastAsia="zh-CN"/>
        </w:rPr>
        <w:t>项目建设符合国家产业政策和福州市生态环境分区管控要求，</w:t>
      </w:r>
      <w:r>
        <w:rPr>
          <w:rFonts w:hint="eastAsia"/>
          <w:lang w:val="en-US" w:eastAsia="zh-CN"/>
        </w:rPr>
        <w:t>符合《福州市国土空间总体规划（2021-2035）》《福清市国土空间总体规划（2021-2035）》《福州“十四五”现代综合交通运输发展专项规划》等相关规划要求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lang w:val="en-US" w:eastAsia="zh-CN"/>
        </w:rPr>
        <w:t>在严格落实《报告书》提出的各项环境保护措施，加强环境管理的前提下，从环境影响角度分析，项目建设可行。</w:t>
      </w:r>
      <w:r>
        <w:rPr>
          <w:rFonts w:hint="eastAsia"/>
        </w:rPr>
        <w:t>同意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按照</w:t>
      </w:r>
      <w:r>
        <w:rPr>
          <w:rFonts w:hint="eastAsia"/>
          <w:lang w:val="en-US" w:eastAsia="zh-CN"/>
        </w:rPr>
        <w:t>《报告书》</w:t>
      </w:r>
      <w:r>
        <w:rPr>
          <w:rFonts w:hint="eastAsia"/>
        </w:rPr>
        <w:t>中所列的性质、规模、地点、采用的生产工艺</w:t>
      </w:r>
      <w:r>
        <w:rPr>
          <w:rFonts w:hint="eastAsia"/>
          <w:lang w:eastAsia="zh-CN"/>
        </w:rPr>
        <w:t>和</w:t>
      </w:r>
      <w:r>
        <w:rPr>
          <w:rFonts w:hint="eastAsia"/>
        </w:rPr>
        <w:t>防治污染、防止生态破坏的措施进行建设</w:t>
      </w:r>
      <w:r>
        <w:rPr>
          <w:rFonts w:hint="eastAsia"/>
          <w:lang w:val="en-US" w:eastAsia="zh-CN"/>
        </w:rPr>
        <w:t>。</w:t>
      </w:r>
    </w:p>
    <w:p w14:paraId="56CF55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二、项目应严格落实《报告书》提出的各项生态保护、污染防治、风险防控等措施，并重点做好以下工作</w:t>
      </w:r>
      <w:r>
        <w:rPr>
          <w:rFonts w:hint="eastAsia"/>
          <w:lang w:eastAsia="zh-CN"/>
        </w:rPr>
        <w:t>：</w:t>
      </w:r>
    </w:p>
    <w:p w14:paraId="15A6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1.生态环境防治</w:t>
      </w:r>
    </w:p>
    <w:p w14:paraId="7ADC8CB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严格落实周边生态保护红线、基本农田等保护措施，严禁破坏周边基本农田及生态保护红线。项目占用耕地、林地依法办理</w:t>
      </w:r>
      <w:r>
        <w:rPr>
          <w:rFonts w:hint="eastAsia" w:ascii="仿宋_GB2312" w:eastAsia="仿宋_GB2312"/>
          <w:sz w:val="32"/>
          <w:szCs w:val="32"/>
          <w:lang w:eastAsia="zh-CN"/>
        </w:rPr>
        <w:t>相关审批</w:t>
      </w:r>
      <w:r>
        <w:rPr>
          <w:rFonts w:hint="eastAsia" w:ascii="仿宋_GB2312" w:eastAsia="仿宋_GB2312"/>
          <w:sz w:val="32"/>
          <w:szCs w:val="32"/>
        </w:rPr>
        <w:t>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严格控制施工范围，施工活动应严格限制在既定的范围之内，</w:t>
      </w:r>
      <w:r>
        <w:rPr>
          <w:rFonts w:hint="eastAsia"/>
          <w:sz w:val="32"/>
          <w:szCs w:val="32"/>
          <w:lang w:eastAsia="zh-CN"/>
        </w:rPr>
        <w:t>不得占用生态保护红线，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周边生态环境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野生动物栖息、觅食环境的影响。主体工程完工后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/>
          <w:sz w:val="32"/>
          <w:szCs w:val="32"/>
          <w:highlight w:val="none"/>
          <w:lang w:eastAsia="zh-CN"/>
        </w:rPr>
        <w:t>及时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highlight w:val="none"/>
        </w:rPr>
        <w:t>对施工便道、施工</w:t>
      </w:r>
      <w:r>
        <w:rPr>
          <w:rFonts w:hint="eastAsia" w:ascii="仿宋_GB2312" w:eastAsia="仿宋_GB2312" w:cs="Times New Roman"/>
          <w:bCs/>
          <w:color w:val="000000"/>
          <w:sz w:val="32"/>
          <w:szCs w:val="32"/>
          <w:highlight w:val="none"/>
          <w:lang w:eastAsia="zh-CN"/>
        </w:rPr>
        <w:t>场地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表土堆场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土石方中转场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等临时占地应及时进行生态恢复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2B09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2.水污染防治</w:t>
      </w:r>
    </w:p>
    <w:p w14:paraId="3208660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严格落实报告书提出的施工期和运营期的水污染防治措施，尽量减少对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highlight w:val="none"/>
          <w:lang w:eastAsia="zh-CN"/>
        </w:rPr>
        <w:t>周边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水环境的影响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>施工期施工场地产生的生活污水由抽粪车定时清运，生产废水全部处理达标后回用于施工场地，不外排。既有道路拆除施工发现污水管遗留生活废水的，应收集后统一运送至龙田污水处理厂。</w:t>
      </w:r>
    </w:p>
    <w:p w14:paraId="5D73C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3.大气污染防治</w:t>
      </w:r>
    </w:p>
    <w:p w14:paraId="0550C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pacing w:val="-4"/>
          <w:sz w:val="32"/>
          <w:szCs w:val="32"/>
        </w:rPr>
        <w:t>不设置混凝土及沥青搅拌站</w:t>
      </w:r>
      <w:r>
        <w:rPr>
          <w:rFonts w:hint="eastAsia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易扬尘作业应采取湿法</w:t>
      </w:r>
      <w:r>
        <w:rPr>
          <w:rFonts w:hint="eastAsia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施工期加强场地道路洒水降尘，减少施工及车辆运输扬尘影响。</w:t>
      </w:r>
      <w:r>
        <w:rPr>
          <w:rFonts w:hint="eastAsia" w:ascii="仿宋_GB2312" w:eastAsia="仿宋_GB2312"/>
          <w:spacing w:val="-4"/>
          <w:sz w:val="32"/>
          <w:szCs w:val="32"/>
        </w:rPr>
        <w:t>村庄沿线的施工场地四周连续设置封闭的施工围挡，临村庄路段围挡上方设置雾化喷淋设施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加强公路的绿化带建设，减缓运营期汽车尾气对周边大气环境的影响。</w:t>
      </w:r>
    </w:p>
    <w:p w14:paraId="5167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4.噪声污染防治</w:t>
      </w:r>
    </w:p>
    <w:p w14:paraId="2196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理安排施工时间和布置施工场地，临近敏感建筑物的施工场地设置临时隔声围墙。加强对沿线声环境敏感目标的噪声监测，并预留资金，根据跟踪监测结果适时增补、完善沿线噪声防治措施；提请并积极配合当地政府做好公路沿线两侧用地的规划控制，避免交通噪声对新增声环境敏感目标的噪声影响。</w:t>
      </w:r>
    </w:p>
    <w:p w14:paraId="4624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5.固废污染防治</w:t>
      </w:r>
    </w:p>
    <w:p w14:paraId="532608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施工期所产生的建筑垃圾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应尽量回收利用，对不可利用部分应收集后运至指定地点进行消纳处置，不得随意处置。</w:t>
      </w:r>
      <w:r>
        <w:rPr>
          <w:rFonts w:hint="eastAsia" w:ascii="仿宋_GB2312" w:eastAsia="仿宋_GB2312"/>
          <w:color w:val="auto"/>
          <w:sz w:val="32"/>
          <w:szCs w:val="32"/>
        </w:rPr>
        <w:t>弃</w:t>
      </w:r>
      <w:r>
        <w:rPr>
          <w:rFonts w:hint="eastAsia" w:ascii="仿宋_GB2312" w:eastAsia="仿宋_GB2312"/>
          <w:sz w:val="32"/>
          <w:szCs w:val="32"/>
        </w:rPr>
        <w:t>土方</w:t>
      </w:r>
      <w:r>
        <w:rPr>
          <w:rFonts w:hint="eastAsia" w:ascii="仿宋_GB2312" w:hAnsi="仿宋_GB2312" w:eastAsia="仿宋_GB2312" w:cs="仿宋_GB2312"/>
          <w:sz w:val="32"/>
          <w:szCs w:val="32"/>
        </w:rPr>
        <w:t>外运福清市生活物资城郊大仓项目进行回填综合利用。</w:t>
      </w:r>
      <w:r>
        <w:rPr>
          <w:rFonts w:hint="eastAsia" w:ascii="仿宋_GB2312" w:eastAsia="仿宋_GB2312"/>
          <w:sz w:val="32"/>
          <w:szCs w:val="32"/>
        </w:rPr>
        <w:t>隔油沉淀池含油沉泥委托有相应危险废物处置资质单位定期清运、处置，不在施工现场暂存。施工人员生活垃圾经分类收集后由当地环卫部</w:t>
      </w:r>
      <w:r>
        <w:rPr>
          <w:rFonts w:hint="eastAsia" w:ascii="仿宋_GB2312" w:eastAsia="仿宋_GB2312"/>
          <w:color w:val="auto"/>
          <w:sz w:val="32"/>
          <w:szCs w:val="32"/>
        </w:rPr>
        <w:t>门统一清运处理。</w:t>
      </w:r>
    </w:p>
    <w:p w14:paraId="343E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6.环境风险防范</w:t>
      </w:r>
    </w:p>
    <w:p w14:paraId="16EA97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项目与金山输油管道相交段应强化施工组织，并采取有效预防和应急施工，避免污染周边环境。</w:t>
      </w:r>
      <w:r>
        <w:rPr>
          <w:rFonts w:hint="eastAsia"/>
          <w:sz w:val="32"/>
          <w:szCs w:val="32"/>
          <w:highlight w:val="none"/>
          <w:lang w:eastAsia="zh-CN"/>
        </w:rPr>
        <w:t>运营期应</w:t>
      </w:r>
      <w:r>
        <w:rPr>
          <w:rFonts w:hint="eastAsia"/>
          <w:highlight w:val="none"/>
          <w:lang w:eastAsia="zh-CN"/>
        </w:rPr>
        <w:t>加强危险化学品运输车辆事故环境风险管理，编制</w:t>
      </w:r>
      <w:r>
        <w:rPr>
          <w:rFonts w:hint="eastAsia"/>
          <w:highlight w:val="none"/>
          <w:lang w:val="en-US" w:eastAsia="zh-CN"/>
        </w:rPr>
        <w:t>突发环境事件应急预案，</w:t>
      </w:r>
      <w:r>
        <w:rPr>
          <w:rFonts w:hint="eastAsia"/>
          <w:highlight w:val="none"/>
          <w:lang w:eastAsia="zh-CN"/>
        </w:rPr>
        <w:t>定期开展事故环境风险应急演练，并与地方政府建立应急联动机制。</w:t>
      </w:r>
    </w:p>
    <w:p w14:paraId="758B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  <w:highlight w:val="none"/>
          <w:lang w:eastAsia="zh-CN"/>
        </w:rPr>
        <w:t>（三）排放标准</w:t>
      </w:r>
    </w:p>
    <w:p w14:paraId="0E1A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1.废气。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施工期扬尘、沥青烟气执行《大气污染物综合排放标准》(GB16297-1996)表2中相应的无组织排放监控浓度限值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CEDA2E0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废水。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施工期生产废水经隔油沉淀处理后回用于洒水抑尘，不外排；施工人员租住周边村庄，施工人员生活污水纳入周边村庄现有排水系统，不直接向水体排放。施工现场设临时移动式厕所，定期由吸粪车运至龙田污水处理厂处理。</w:t>
      </w:r>
    </w:p>
    <w:p w14:paraId="1F2D0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噪声。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施工期场界噪声排放执行《建筑施工场界环境噪声排放标准》（GB12523-2011）排放限值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D97DE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3" w:firstLineChars="200"/>
        <w:textAlignment w:val="auto"/>
        <w:rPr>
          <w:rFonts w:hint="eastAsia"/>
          <w:b/>
          <w:bCs/>
          <w:strike w:val="0"/>
          <w:dstrike w:val="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4.固废。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施工建筑垃圾的处置执行《城市建筑垃圾管理规定》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（中华人民共和国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建设部第139号令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；施工生活垃圾应按照《城市环境卫生设施规划标准》（GB/T50337-2018）中的要求进行综合利用和处置。</w:t>
      </w:r>
      <w:r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危险废物贮存执行《危险废物贮存污染控制标准》（GB18597-2023</w:t>
      </w:r>
      <w:r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）要求，转移管理执行《危险废物转移管理办法》（部令第23号）相关规定。</w:t>
      </w:r>
    </w:p>
    <w:p w14:paraId="7154B1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四、《报告书》批准后，</w:t>
      </w:r>
      <w:r>
        <w:rPr>
          <w:rFonts w:hint="eastAsia"/>
          <w:lang w:eastAsia="zh-CN"/>
        </w:rPr>
        <w:t>如建设项目的性质、规模、地点、采用的生产工艺或者防治污染、防止生态破坏的措施发生重大变动的，应当依法重新报批项目环评。《报告</w:t>
      </w:r>
      <w:r>
        <w:rPr>
          <w:rFonts w:hint="eastAsia"/>
          <w:lang w:val="en-US" w:eastAsia="zh-CN"/>
        </w:rPr>
        <w:t>书</w:t>
      </w:r>
      <w:r>
        <w:rPr>
          <w:rFonts w:hint="eastAsia"/>
          <w:lang w:eastAsia="zh-CN"/>
        </w:rPr>
        <w:t>》自批准之日起满5年，方开工建设的，项目环评应当依法报我局重新审核。</w:t>
      </w:r>
    </w:p>
    <w:p w14:paraId="36291E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  <w:lang w:eastAsia="zh-CN"/>
        </w:rPr>
        <w:t>项目应加强环境管理，推进落实各项生态环境保护措施。</w:t>
      </w:r>
      <w:r>
        <w:rPr>
          <w:rFonts w:hint="eastAsia"/>
        </w:rPr>
        <w:t>严格执行</w:t>
      </w:r>
      <w:r>
        <w:rPr>
          <w:rFonts w:hint="eastAsia"/>
          <w:lang w:eastAsia="zh-CN"/>
        </w:rPr>
        <w:t>环境保护</w:t>
      </w:r>
      <w:r>
        <w:rPr>
          <w:rFonts w:hint="eastAsia"/>
        </w:rPr>
        <w:t>“三同时”制度</w:t>
      </w:r>
      <w:r>
        <w:rPr>
          <w:rFonts w:hint="eastAsia"/>
          <w:lang w:eastAsia="zh-CN"/>
        </w:rPr>
        <w:t>，加强施工期环境管理。</w:t>
      </w:r>
      <w:r>
        <w:rPr>
          <w:rFonts w:hint="eastAsia"/>
        </w:rPr>
        <w:t>竣工</w:t>
      </w:r>
      <w:r>
        <w:rPr>
          <w:rFonts w:hint="eastAsia"/>
          <w:lang w:eastAsia="zh-CN"/>
        </w:rPr>
        <w:t>后应按规定程序实施</w:t>
      </w:r>
      <w:r>
        <w:rPr>
          <w:rFonts w:hint="eastAsia"/>
        </w:rPr>
        <w:t>竣工环境保护验收。</w:t>
      </w:r>
    </w:p>
    <w:p w14:paraId="5BAC24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highlight w:val="none"/>
        </w:rPr>
      </w:pPr>
      <w:r>
        <w:rPr>
          <w:rFonts w:hint="eastAsia"/>
          <w:lang w:val="en-US" w:eastAsia="zh-CN"/>
        </w:rPr>
        <w:t>六、我局委托福州市生态环境保护综合执法支队开展该项目环保“三同时”监督检查，由</w:t>
      </w:r>
      <w:r>
        <w:rPr>
          <w:rFonts w:hint="eastAsia"/>
          <w:highlight w:val="none"/>
          <w:lang w:val="en-US" w:eastAsia="zh-CN"/>
        </w:rPr>
        <w:t>福州市福清生态环境局</w:t>
      </w:r>
      <w:r>
        <w:rPr>
          <w:rFonts w:hint="eastAsia"/>
          <w:lang w:val="en-US" w:eastAsia="zh-CN"/>
        </w:rPr>
        <w:t>负责该项目日常环保监督管理工作。</w:t>
      </w:r>
    </w:p>
    <w:p w14:paraId="772C84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hint="eastAsia"/>
          <w:highlight w:val="none"/>
        </w:rPr>
      </w:pPr>
      <w:bookmarkStart w:id="0" w:name="_GoBack"/>
      <w:bookmarkEnd w:id="0"/>
    </w:p>
    <w:p w14:paraId="6071B3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hint="eastAsia"/>
          <w:highlight w:val="none"/>
        </w:rPr>
      </w:pPr>
    </w:p>
    <w:p w14:paraId="39C668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hint="eastAsia"/>
          <w:highlight w:val="none"/>
        </w:rPr>
      </w:pPr>
    </w:p>
    <w:p w14:paraId="38A420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福州市</w:t>
      </w:r>
      <w:r>
        <w:rPr>
          <w:rFonts w:hint="eastAsia"/>
          <w:highlight w:val="none"/>
          <w:lang w:eastAsia="zh-CN"/>
        </w:rPr>
        <w:t>生态环境局</w:t>
      </w:r>
      <w:r>
        <w:rPr>
          <w:rFonts w:hint="eastAsia"/>
          <w:highlight w:val="none"/>
          <w:lang w:val="en-US" w:eastAsia="zh-CN"/>
        </w:rPr>
        <w:t xml:space="preserve">        </w:t>
      </w:r>
    </w:p>
    <w:p w14:paraId="085E87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20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22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 xml:space="preserve">        </w:t>
      </w:r>
    </w:p>
    <w:tbl>
      <w:tblPr>
        <w:tblStyle w:val="14"/>
        <w:tblpPr w:horzAnchor="margin" w:tblpX="1" w:tblpYSpec="bottom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16"/>
        <w:gridCol w:w="3274"/>
        <w:gridCol w:w="4589"/>
      </w:tblGrid>
      <w:tr w14:paraId="23F3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717" w:type="pct"/>
            <w:tcBorders>
              <w:left w:val="nil"/>
              <w:right w:val="nil"/>
            </w:tcBorders>
            <w:noWrap w:val="0"/>
            <w:vAlign w:val="top"/>
          </w:tcPr>
          <w:p w14:paraId="58661F79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280" w:firstLineChars="100"/>
              <w:jc w:val="left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抄送：</w:t>
            </w:r>
          </w:p>
        </w:tc>
        <w:tc>
          <w:tcPr>
            <w:tcW w:w="4282" w:type="pct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05A16374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局水处、生态处，</w:t>
            </w:r>
            <w:r>
              <w:rPr>
                <w:rFonts w:hint="eastAsia"/>
                <w:sz w:val="28"/>
                <w:szCs w:val="28"/>
                <w:highlight w:val="none"/>
              </w:rPr>
              <w:t>福州市生态环境保护综合执法支队，福州市环境影响评价技术中心，福州市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福清</w:t>
            </w:r>
            <w:r>
              <w:rPr>
                <w:rFonts w:hint="eastAsia"/>
                <w:sz w:val="28"/>
                <w:szCs w:val="28"/>
                <w:highlight w:val="none"/>
              </w:rPr>
              <w:t>生态环境局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，厦门市政南方海洋科技有限公司。</w:t>
            </w:r>
          </w:p>
        </w:tc>
      </w:tr>
      <w:tr w14:paraId="731C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2500" w:type="pct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79EC4DC6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280" w:firstLineChars="100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生态环境</w:t>
            </w:r>
            <w:r>
              <w:rPr>
                <w:rFonts w:hint="eastAsia"/>
                <w:sz w:val="28"/>
                <w:szCs w:val="28"/>
                <w:highlight w:val="none"/>
              </w:rPr>
              <w:t>局</w:t>
            </w:r>
          </w:p>
        </w:tc>
        <w:tc>
          <w:tcPr>
            <w:tcW w:w="2499" w:type="pct"/>
            <w:tcBorders>
              <w:left w:val="nil"/>
              <w:right w:val="nil"/>
            </w:tcBorders>
            <w:noWrap w:val="0"/>
            <w:vAlign w:val="top"/>
          </w:tcPr>
          <w:p w14:paraId="3D2BF521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right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  <w:highlight w:val="none"/>
              </w:rPr>
              <w:t>月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  <w:highlight w:val="none"/>
              </w:rPr>
              <w:t>日印发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</w:tbl>
    <w:p w14:paraId="24D4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right="0" w:rightChars="0" w:firstLine="0" w:firstLineChars="0"/>
        <w:jc w:val="both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1417" w:right="1417" w:bottom="1417" w:left="141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D034F">
    <w:pPr>
      <w:tabs>
        <w:tab w:val="center" w:pos="4153"/>
        <w:tab w:val="right" w:pos="8306"/>
      </w:tabs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9A0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E9A0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76332">
    <w:pPr>
      <w:framePr w:wrap="around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15914E8D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84F08"/>
    <w:multiLevelType w:val="singleLevel"/>
    <w:tmpl w:val="FB084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132AC9"/>
    <w:multiLevelType w:val="multilevel"/>
    <w:tmpl w:val="41132AC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720"/>
        </w:tabs>
        <w:ind w:left="72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NDM5NTI3YTI2MzU0NTA3MzliODM2N2FlYTc2NjYifQ=="/>
  </w:docVars>
  <w:rsids>
    <w:rsidRoot w:val="00172A27"/>
    <w:rsid w:val="00285502"/>
    <w:rsid w:val="002D2788"/>
    <w:rsid w:val="00733C95"/>
    <w:rsid w:val="00DC19CB"/>
    <w:rsid w:val="012415C2"/>
    <w:rsid w:val="01423F24"/>
    <w:rsid w:val="017B4BBD"/>
    <w:rsid w:val="01A7022B"/>
    <w:rsid w:val="01D1680C"/>
    <w:rsid w:val="01D55B47"/>
    <w:rsid w:val="01EE5E5A"/>
    <w:rsid w:val="01F6165D"/>
    <w:rsid w:val="02087A20"/>
    <w:rsid w:val="021C6C6C"/>
    <w:rsid w:val="02681D8C"/>
    <w:rsid w:val="02A91D81"/>
    <w:rsid w:val="02F373A7"/>
    <w:rsid w:val="03995481"/>
    <w:rsid w:val="03AD58A1"/>
    <w:rsid w:val="03CB7B24"/>
    <w:rsid w:val="043A5387"/>
    <w:rsid w:val="044C024B"/>
    <w:rsid w:val="044E3BDF"/>
    <w:rsid w:val="046E4052"/>
    <w:rsid w:val="04D706D5"/>
    <w:rsid w:val="04E87704"/>
    <w:rsid w:val="051316C9"/>
    <w:rsid w:val="05360CF3"/>
    <w:rsid w:val="05614C7A"/>
    <w:rsid w:val="059B31F8"/>
    <w:rsid w:val="05A9624A"/>
    <w:rsid w:val="05EC03F0"/>
    <w:rsid w:val="06911288"/>
    <w:rsid w:val="06F42B68"/>
    <w:rsid w:val="07627F61"/>
    <w:rsid w:val="07857BC5"/>
    <w:rsid w:val="07872AC0"/>
    <w:rsid w:val="07921E93"/>
    <w:rsid w:val="07A01A45"/>
    <w:rsid w:val="07E643A6"/>
    <w:rsid w:val="08067F20"/>
    <w:rsid w:val="08592B0D"/>
    <w:rsid w:val="08991F59"/>
    <w:rsid w:val="08D31906"/>
    <w:rsid w:val="08F70236"/>
    <w:rsid w:val="09017F7A"/>
    <w:rsid w:val="09290201"/>
    <w:rsid w:val="09682A4F"/>
    <w:rsid w:val="096F7A09"/>
    <w:rsid w:val="097525E3"/>
    <w:rsid w:val="09AE6015"/>
    <w:rsid w:val="09CD427B"/>
    <w:rsid w:val="09F31D9F"/>
    <w:rsid w:val="0A1F7296"/>
    <w:rsid w:val="0A374430"/>
    <w:rsid w:val="0A3C63D0"/>
    <w:rsid w:val="0A4F7B1C"/>
    <w:rsid w:val="0BD02354"/>
    <w:rsid w:val="0C312BFA"/>
    <w:rsid w:val="0C8073F8"/>
    <w:rsid w:val="0CA35B13"/>
    <w:rsid w:val="0D750F31"/>
    <w:rsid w:val="0E140D02"/>
    <w:rsid w:val="0E3A1F14"/>
    <w:rsid w:val="0E865C80"/>
    <w:rsid w:val="0EB47119"/>
    <w:rsid w:val="0EEC178F"/>
    <w:rsid w:val="0F0C76AB"/>
    <w:rsid w:val="0F7D61F5"/>
    <w:rsid w:val="0FC07E01"/>
    <w:rsid w:val="105F163E"/>
    <w:rsid w:val="10960840"/>
    <w:rsid w:val="10C15A17"/>
    <w:rsid w:val="11EE50AB"/>
    <w:rsid w:val="12100067"/>
    <w:rsid w:val="12321614"/>
    <w:rsid w:val="12F82368"/>
    <w:rsid w:val="13095FB3"/>
    <w:rsid w:val="132F0080"/>
    <w:rsid w:val="13433851"/>
    <w:rsid w:val="136E2957"/>
    <w:rsid w:val="139042E6"/>
    <w:rsid w:val="1393060F"/>
    <w:rsid w:val="13CF3A9D"/>
    <w:rsid w:val="14115C0D"/>
    <w:rsid w:val="141C6857"/>
    <w:rsid w:val="14470016"/>
    <w:rsid w:val="14647F10"/>
    <w:rsid w:val="149C2744"/>
    <w:rsid w:val="14A95C11"/>
    <w:rsid w:val="14C40C02"/>
    <w:rsid w:val="14E56EB1"/>
    <w:rsid w:val="14E833C5"/>
    <w:rsid w:val="14EF6AF2"/>
    <w:rsid w:val="15202377"/>
    <w:rsid w:val="15353F94"/>
    <w:rsid w:val="15636A11"/>
    <w:rsid w:val="15864CBE"/>
    <w:rsid w:val="158B717A"/>
    <w:rsid w:val="15A30A8C"/>
    <w:rsid w:val="15AB0040"/>
    <w:rsid w:val="15F874A1"/>
    <w:rsid w:val="160B5ABA"/>
    <w:rsid w:val="16394E85"/>
    <w:rsid w:val="16590C32"/>
    <w:rsid w:val="16BF796D"/>
    <w:rsid w:val="16D60828"/>
    <w:rsid w:val="16E641C4"/>
    <w:rsid w:val="17203A97"/>
    <w:rsid w:val="17696FE0"/>
    <w:rsid w:val="177C2B6D"/>
    <w:rsid w:val="17B42592"/>
    <w:rsid w:val="17DD0A63"/>
    <w:rsid w:val="17F77252"/>
    <w:rsid w:val="18125C7A"/>
    <w:rsid w:val="18777AFA"/>
    <w:rsid w:val="188A223C"/>
    <w:rsid w:val="1892516D"/>
    <w:rsid w:val="18D766FA"/>
    <w:rsid w:val="194045ED"/>
    <w:rsid w:val="19B17A41"/>
    <w:rsid w:val="19DD3EF8"/>
    <w:rsid w:val="19F73E81"/>
    <w:rsid w:val="1A8C2A62"/>
    <w:rsid w:val="1AF04599"/>
    <w:rsid w:val="1B0C5089"/>
    <w:rsid w:val="1B2F580A"/>
    <w:rsid w:val="1B3A4B23"/>
    <w:rsid w:val="1B676D5F"/>
    <w:rsid w:val="1B7B2A2A"/>
    <w:rsid w:val="1BAD4F54"/>
    <w:rsid w:val="1BB05AD7"/>
    <w:rsid w:val="1BE97638"/>
    <w:rsid w:val="1BF55770"/>
    <w:rsid w:val="1C06075E"/>
    <w:rsid w:val="1C3E3371"/>
    <w:rsid w:val="1C770AC4"/>
    <w:rsid w:val="1CA03525"/>
    <w:rsid w:val="1CAC3741"/>
    <w:rsid w:val="1D6762C4"/>
    <w:rsid w:val="1DB9579F"/>
    <w:rsid w:val="1DFB08D0"/>
    <w:rsid w:val="1E2A1857"/>
    <w:rsid w:val="1E6C5ADB"/>
    <w:rsid w:val="1EB55A71"/>
    <w:rsid w:val="1EC90F46"/>
    <w:rsid w:val="1EFA7794"/>
    <w:rsid w:val="1F165581"/>
    <w:rsid w:val="1F7040EE"/>
    <w:rsid w:val="1FC42DC7"/>
    <w:rsid w:val="1FFA3FF9"/>
    <w:rsid w:val="20027E8A"/>
    <w:rsid w:val="2060293B"/>
    <w:rsid w:val="20915ED7"/>
    <w:rsid w:val="209F7DAC"/>
    <w:rsid w:val="20D73A5A"/>
    <w:rsid w:val="21143B4C"/>
    <w:rsid w:val="21325C72"/>
    <w:rsid w:val="2137097C"/>
    <w:rsid w:val="21B749D0"/>
    <w:rsid w:val="21E81F4C"/>
    <w:rsid w:val="21FE726F"/>
    <w:rsid w:val="22057C02"/>
    <w:rsid w:val="2214244A"/>
    <w:rsid w:val="22181FF2"/>
    <w:rsid w:val="2224602D"/>
    <w:rsid w:val="225A7C8A"/>
    <w:rsid w:val="226002D5"/>
    <w:rsid w:val="22BA2122"/>
    <w:rsid w:val="22D54F67"/>
    <w:rsid w:val="23925D1D"/>
    <w:rsid w:val="23D37805"/>
    <w:rsid w:val="247F4FF4"/>
    <w:rsid w:val="24D85EEB"/>
    <w:rsid w:val="255D78A2"/>
    <w:rsid w:val="25634F98"/>
    <w:rsid w:val="257974D5"/>
    <w:rsid w:val="25916AA4"/>
    <w:rsid w:val="25D65D28"/>
    <w:rsid w:val="260B587A"/>
    <w:rsid w:val="26117FA0"/>
    <w:rsid w:val="262275D1"/>
    <w:rsid w:val="263C1438"/>
    <w:rsid w:val="26E0338E"/>
    <w:rsid w:val="26EC2707"/>
    <w:rsid w:val="270D7D6E"/>
    <w:rsid w:val="271B2112"/>
    <w:rsid w:val="273D3CE1"/>
    <w:rsid w:val="273F2C22"/>
    <w:rsid w:val="273F5085"/>
    <w:rsid w:val="27777B13"/>
    <w:rsid w:val="27C7045C"/>
    <w:rsid w:val="27DC2B23"/>
    <w:rsid w:val="280C6F05"/>
    <w:rsid w:val="281B0309"/>
    <w:rsid w:val="283178CB"/>
    <w:rsid w:val="288F5D7B"/>
    <w:rsid w:val="289B7569"/>
    <w:rsid w:val="28AA153E"/>
    <w:rsid w:val="28FC341A"/>
    <w:rsid w:val="2A1C69F8"/>
    <w:rsid w:val="2A8B4E09"/>
    <w:rsid w:val="2A9D4879"/>
    <w:rsid w:val="2AA14CA8"/>
    <w:rsid w:val="2AC121DF"/>
    <w:rsid w:val="2AD14B31"/>
    <w:rsid w:val="2AD57C80"/>
    <w:rsid w:val="2AF10F5C"/>
    <w:rsid w:val="2B0C7BEA"/>
    <w:rsid w:val="2B65243A"/>
    <w:rsid w:val="2B7649BE"/>
    <w:rsid w:val="2B833315"/>
    <w:rsid w:val="2BAA6116"/>
    <w:rsid w:val="2BE95FAD"/>
    <w:rsid w:val="2C387E6F"/>
    <w:rsid w:val="2C421C7B"/>
    <w:rsid w:val="2C5D61AC"/>
    <w:rsid w:val="2C855069"/>
    <w:rsid w:val="2CA43435"/>
    <w:rsid w:val="2CDF5A47"/>
    <w:rsid w:val="2D000B7F"/>
    <w:rsid w:val="2D280BC1"/>
    <w:rsid w:val="2D3E15A4"/>
    <w:rsid w:val="2D9A22EF"/>
    <w:rsid w:val="2DD0519A"/>
    <w:rsid w:val="2E20215E"/>
    <w:rsid w:val="2E4072AA"/>
    <w:rsid w:val="2E521804"/>
    <w:rsid w:val="2E5D640D"/>
    <w:rsid w:val="2E7A2EB2"/>
    <w:rsid w:val="2E82340D"/>
    <w:rsid w:val="2E9D5498"/>
    <w:rsid w:val="2E9F3BE2"/>
    <w:rsid w:val="2F67058E"/>
    <w:rsid w:val="2F7C3F50"/>
    <w:rsid w:val="2F8F7792"/>
    <w:rsid w:val="30221FB4"/>
    <w:rsid w:val="302A5494"/>
    <w:rsid w:val="304A7159"/>
    <w:rsid w:val="304B1338"/>
    <w:rsid w:val="30AB6B41"/>
    <w:rsid w:val="30EE6CA3"/>
    <w:rsid w:val="30F069FA"/>
    <w:rsid w:val="30F83409"/>
    <w:rsid w:val="30FB32F8"/>
    <w:rsid w:val="317B4B1E"/>
    <w:rsid w:val="32052280"/>
    <w:rsid w:val="32E4458C"/>
    <w:rsid w:val="32FB783E"/>
    <w:rsid w:val="33071ADC"/>
    <w:rsid w:val="33405C86"/>
    <w:rsid w:val="334E34FC"/>
    <w:rsid w:val="33520B64"/>
    <w:rsid w:val="335A1288"/>
    <w:rsid w:val="336660D1"/>
    <w:rsid w:val="3401422B"/>
    <w:rsid w:val="341A5D77"/>
    <w:rsid w:val="3455090A"/>
    <w:rsid w:val="346A2584"/>
    <w:rsid w:val="34BB7587"/>
    <w:rsid w:val="34BD1541"/>
    <w:rsid w:val="34C42AA8"/>
    <w:rsid w:val="34C70C8A"/>
    <w:rsid w:val="34D038C0"/>
    <w:rsid w:val="35051296"/>
    <w:rsid w:val="35226149"/>
    <w:rsid w:val="35226409"/>
    <w:rsid w:val="355510D6"/>
    <w:rsid w:val="35614F37"/>
    <w:rsid w:val="356710AC"/>
    <w:rsid w:val="35916E07"/>
    <w:rsid w:val="359A757A"/>
    <w:rsid w:val="3631346C"/>
    <w:rsid w:val="366E2AEA"/>
    <w:rsid w:val="36767719"/>
    <w:rsid w:val="368F1EED"/>
    <w:rsid w:val="36BA77F2"/>
    <w:rsid w:val="36C56525"/>
    <w:rsid w:val="36EB32A4"/>
    <w:rsid w:val="36F02A16"/>
    <w:rsid w:val="373240D5"/>
    <w:rsid w:val="374C17F7"/>
    <w:rsid w:val="377A54BF"/>
    <w:rsid w:val="37F237F8"/>
    <w:rsid w:val="37F877E0"/>
    <w:rsid w:val="3836588A"/>
    <w:rsid w:val="3860185A"/>
    <w:rsid w:val="389F6C5E"/>
    <w:rsid w:val="390B59DF"/>
    <w:rsid w:val="39364032"/>
    <w:rsid w:val="399251D2"/>
    <w:rsid w:val="39E843EE"/>
    <w:rsid w:val="39F14134"/>
    <w:rsid w:val="3A2A69FC"/>
    <w:rsid w:val="3A496523"/>
    <w:rsid w:val="3A7033B3"/>
    <w:rsid w:val="3A867BB1"/>
    <w:rsid w:val="3AA75770"/>
    <w:rsid w:val="3B5B73B5"/>
    <w:rsid w:val="3B950B19"/>
    <w:rsid w:val="3BBC1D7C"/>
    <w:rsid w:val="3C0C5739"/>
    <w:rsid w:val="3C371BD0"/>
    <w:rsid w:val="3C665805"/>
    <w:rsid w:val="3C805325"/>
    <w:rsid w:val="3D9A2417"/>
    <w:rsid w:val="3DA26822"/>
    <w:rsid w:val="3DB86DD6"/>
    <w:rsid w:val="3DDC2BB6"/>
    <w:rsid w:val="3DE06A0F"/>
    <w:rsid w:val="3E771221"/>
    <w:rsid w:val="3EC87493"/>
    <w:rsid w:val="3ECA6D2C"/>
    <w:rsid w:val="3F363F8B"/>
    <w:rsid w:val="3F824E8C"/>
    <w:rsid w:val="3FBE3C9E"/>
    <w:rsid w:val="407A1888"/>
    <w:rsid w:val="40811207"/>
    <w:rsid w:val="4089777C"/>
    <w:rsid w:val="408A3C30"/>
    <w:rsid w:val="409F7D44"/>
    <w:rsid w:val="40C913D4"/>
    <w:rsid w:val="40CC5DE9"/>
    <w:rsid w:val="40F679C1"/>
    <w:rsid w:val="410E3E35"/>
    <w:rsid w:val="41534C28"/>
    <w:rsid w:val="41A650C0"/>
    <w:rsid w:val="41D10E53"/>
    <w:rsid w:val="41DD6A83"/>
    <w:rsid w:val="41E87F50"/>
    <w:rsid w:val="41E9719C"/>
    <w:rsid w:val="421676EB"/>
    <w:rsid w:val="42371BC0"/>
    <w:rsid w:val="42A11B51"/>
    <w:rsid w:val="42A94EAA"/>
    <w:rsid w:val="43100811"/>
    <w:rsid w:val="435E5746"/>
    <w:rsid w:val="437159C8"/>
    <w:rsid w:val="43AC79FF"/>
    <w:rsid w:val="43D60E26"/>
    <w:rsid w:val="444B22B5"/>
    <w:rsid w:val="44695E5B"/>
    <w:rsid w:val="447314CE"/>
    <w:rsid w:val="44865664"/>
    <w:rsid w:val="448E3562"/>
    <w:rsid w:val="44F945DA"/>
    <w:rsid w:val="45384445"/>
    <w:rsid w:val="453F5652"/>
    <w:rsid w:val="458C75D8"/>
    <w:rsid w:val="45A904AC"/>
    <w:rsid w:val="45A9090B"/>
    <w:rsid w:val="460D2E36"/>
    <w:rsid w:val="463D0E74"/>
    <w:rsid w:val="46905A4C"/>
    <w:rsid w:val="46A97923"/>
    <w:rsid w:val="46C2744B"/>
    <w:rsid w:val="46C93599"/>
    <w:rsid w:val="46CD505E"/>
    <w:rsid w:val="4708409D"/>
    <w:rsid w:val="48A155A1"/>
    <w:rsid w:val="48A26146"/>
    <w:rsid w:val="48E17742"/>
    <w:rsid w:val="49690EEF"/>
    <w:rsid w:val="49835FF6"/>
    <w:rsid w:val="49934965"/>
    <w:rsid w:val="499E03EC"/>
    <w:rsid w:val="49BC54C3"/>
    <w:rsid w:val="49CD0C90"/>
    <w:rsid w:val="4A0E3C60"/>
    <w:rsid w:val="4A17247D"/>
    <w:rsid w:val="4A7077B2"/>
    <w:rsid w:val="4A8E1FAD"/>
    <w:rsid w:val="4A987224"/>
    <w:rsid w:val="4C1027F5"/>
    <w:rsid w:val="4C140938"/>
    <w:rsid w:val="4C4869B3"/>
    <w:rsid w:val="4C670FC4"/>
    <w:rsid w:val="4C811A39"/>
    <w:rsid w:val="4D187B9C"/>
    <w:rsid w:val="4D4D782C"/>
    <w:rsid w:val="4D5F00C6"/>
    <w:rsid w:val="4DC94652"/>
    <w:rsid w:val="4DDE1B7F"/>
    <w:rsid w:val="4E0A0EF3"/>
    <w:rsid w:val="4E0B6B58"/>
    <w:rsid w:val="4E34569A"/>
    <w:rsid w:val="4E553227"/>
    <w:rsid w:val="4E663285"/>
    <w:rsid w:val="4EA41E49"/>
    <w:rsid w:val="4EDA6CE4"/>
    <w:rsid w:val="4EE65F3F"/>
    <w:rsid w:val="4EF704A2"/>
    <w:rsid w:val="4F17434B"/>
    <w:rsid w:val="4F867E4E"/>
    <w:rsid w:val="504A7CCC"/>
    <w:rsid w:val="505A6944"/>
    <w:rsid w:val="50611DAF"/>
    <w:rsid w:val="5089670A"/>
    <w:rsid w:val="50DD5D75"/>
    <w:rsid w:val="51E647F7"/>
    <w:rsid w:val="520533FB"/>
    <w:rsid w:val="52143AFD"/>
    <w:rsid w:val="522B3DE7"/>
    <w:rsid w:val="52555569"/>
    <w:rsid w:val="52F91162"/>
    <w:rsid w:val="52FC2DD4"/>
    <w:rsid w:val="53190FD9"/>
    <w:rsid w:val="53603F71"/>
    <w:rsid w:val="53765A26"/>
    <w:rsid w:val="53795DEA"/>
    <w:rsid w:val="53954603"/>
    <w:rsid w:val="5398647F"/>
    <w:rsid w:val="546F2AEB"/>
    <w:rsid w:val="54CE3C4A"/>
    <w:rsid w:val="55411B42"/>
    <w:rsid w:val="5579019D"/>
    <w:rsid w:val="559F7E89"/>
    <w:rsid w:val="55B81234"/>
    <w:rsid w:val="55BC3AD1"/>
    <w:rsid w:val="5611243C"/>
    <w:rsid w:val="565C381F"/>
    <w:rsid w:val="56723939"/>
    <w:rsid w:val="56752603"/>
    <w:rsid w:val="56B03064"/>
    <w:rsid w:val="56BD1629"/>
    <w:rsid w:val="56FB049E"/>
    <w:rsid w:val="5773796F"/>
    <w:rsid w:val="579932E7"/>
    <w:rsid w:val="57B719BC"/>
    <w:rsid w:val="57C65626"/>
    <w:rsid w:val="57E478CE"/>
    <w:rsid w:val="588C0756"/>
    <w:rsid w:val="58B55C87"/>
    <w:rsid w:val="58E45F93"/>
    <w:rsid w:val="58E73667"/>
    <w:rsid w:val="590929B0"/>
    <w:rsid w:val="591A79B6"/>
    <w:rsid w:val="59404E79"/>
    <w:rsid w:val="595F65D1"/>
    <w:rsid w:val="59821989"/>
    <w:rsid w:val="59B143F5"/>
    <w:rsid w:val="59B70E38"/>
    <w:rsid w:val="59F754D4"/>
    <w:rsid w:val="5A2447F3"/>
    <w:rsid w:val="5A39015A"/>
    <w:rsid w:val="5A600D7D"/>
    <w:rsid w:val="5A663C6D"/>
    <w:rsid w:val="5AF116BD"/>
    <w:rsid w:val="5AFC50AF"/>
    <w:rsid w:val="5B4F712A"/>
    <w:rsid w:val="5BA81DEA"/>
    <w:rsid w:val="5BB416EF"/>
    <w:rsid w:val="5BBB04C9"/>
    <w:rsid w:val="5C02145B"/>
    <w:rsid w:val="5C0F33DD"/>
    <w:rsid w:val="5C1E2DC4"/>
    <w:rsid w:val="5C500C07"/>
    <w:rsid w:val="5C591D09"/>
    <w:rsid w:val="5CB762E9"/>
    <w:rsid w:val="5D014BFA"/>
    <w:rsid w:val="5D194829"/>
    <w:rsid w:val="5D260F2D"/>
    <w:rsid w:val="5D6B68D5"/>
    <w:rsid w:val="5D8442C9"/>
    <w:rsid w:val="5DA66549"/>
    <w:rsid w:val="5DFD637E"/>
    <w:rsid w:val="5E917EAA"/>
    <w:rsid w:val="5ECA634C"/>
    <w:rsid w:val="5EF452EC"/>
    <w:rsid w:val="5F27080E"/>
    <w:rsid w:val="5F2D4723"/>
    <w:rsid w:val="5F313E05"/>
    <w:rsid w:val="5F3E17D5"/>
    <w:rsid w:val="5F71128A"/>
    <w:rsid w:val="5F9347C8"/>
    <w:rsid w:val="5FEA2220"/>
    <w:rsid w:val="6045671D"/>
    <w:rsid w:val="606D04A3"/>
    <w:rsid w:val="60AB3A08"/>
    <w:rsid w:val="60D3786A"/>
    <w:rsid w:val="61052DF9"/>
    <w:rsid w:val="6130229A"/>
    <w:rsid w:val="61363955"/>
    <w:rsid w:val="61572249"/>
    <w:rsid w:val="6256228E"/>
    <w:rsid w:val="62853361"/>
    <w:rsid w:val="62B831C1"/>
    <w:rsid w:val="62BA4BEA"/>
    <w:rsid w:val="62CF68EA"/>
    <w:rsid w:val="63715BA8"/>
    <w:rsid w:val="63800D2E"/>
    <w:rsid w:val="63C91E94"/>
    <w:rsid w:val="64370110"/>
    <w:rsid w:val="643E32B9"/>
    <w:rsid w:val="64D14E08"/>
    <w:rsid w:val="65627461"/>
    <w:rsid w:val="65C43C25"/>
    <w:rsid w:val="65CA32A0"/>
    <w:rsid w:val="65E77401"/>
    <w:rsid w:val="65FC33BF"/>
    <w:rsid w:val="66AA7F8F"/>
    <w:rsid w:val="66E612EE"/>
    <w:rsid w:val="66E63C24"/>
    <w:rsid w:val="671007B9"/>
    <w:rsid w:val="67391E88"/>
    <w:rsid w:val="675863D3"/>
    <w:rsid w:val="675D7CB8"/>
    <w:rsid w:val="67A41370"/>
    <w:rsid w:val="67A755AC"/>
    <w:rsid w:val="68272D07"/>
    <w:rsid w:val="68B07C80"/>
    <w:rsid w:val="68D565A8"/>
    <w:rsid w:val="69AE7235"/>
    <w:rsid w:val="69D54F09"/>
    <w:rsid w:val="69EB0C64"/>
    <w:rsid w:val="6A147573"/>
    <w:rsid w:val="6A3F33A9"/>
    <w:rsid w:val="6A795B01"/>
    <w:rsid w:val="6A7B2288"/>
    <w:rsid w:val="6AD965D0"/>
    <w:rsid w:val="6AE57CC7"/>
    <w:rsid w:val="6AFC6EF7"/>
    <w:rsid w:val="6B384575"/>
    <w:rsid w:val="6B570121"/>
    <w:rsid w:val="6B637032"/>
    <w:rsid w:val="6B6A4787"/>
    <w:rsid w:val="6B7752F2"/>
    <w:rsid w:val="6BDB475D"/>
    <w:rsid w:val="6BFF1D07"/>
    <w:rsid w:val="6C2151AA"/>
    <w:rsid w:val="6CC23F43"/>
    <w:rsid w:val="6CC24944"/>
    <w:rsid w:val="6CE71FCB"/>
    <w:rsid w:val="6D013069"/>
    <w:rsid w:val="6D703160"/>
    <w:rsid w:val="6E7B26F0"/>
    <w:rsid w:val="6E907650"/>
    <w:rsid w:val="6EAA69C0"/>
    <w:rsid w:val="6EBB68D3"/>
    <w:rsid w:val="6EEA6F2E"/>
    <w:rsid w:val="6F3D0E01"/>
    <w:rsid w:val="6F5A6006"/>
    <w:rsid w:val="6F8C0561"/>
    <w:rsid w:val="6FA50623"/>
    <w:rsid w:val="6FBB353C"/>
    <w:rsid w:val="6FF40792"/>
    <w:rsid w:val="701570FF"/>
    <w:rsid w:val="705219E6"/>
    <w:rsid w:val="706359C1"/>
    <w:rsid w:val="707352C8"/>
    <w:rsid w:val="708F5FDD"/>
    <w:rsid w:val="70B54C51"/>
    <w:rsid w:val="70D22AF0"/>
    <w:rsid w:val="713F4F2F"/>
    <w:rsid w:val="719B0488"/>
    <w:rsid w:val="71B66B18"/>
    <w:rsid w:val="71C4090A"/>
    <w:rsid w:val="71D17800"/>
    <w:rsid w:val="72504B83"/>
    <w:rsid w:val="727916F5"/>
    <w:rsid w:val="73090EC9"/>
    <w:rsid w:val="7375030D"/>
    <w:rsid w:val="73B119FE"/>
    <w:rsid w:val="73C2117C"/>
    <w:rsid w:val="73E86ED0"/>
    <w:rsid w:val="74167DE3"/>
    <w:rsid w:val="7472484C"/>
    <w:rsid w:val="747B1E68"/>
    <w:rsid w:val="749F2E1A"/>
    <w:rsid w:val="750E0FD0"/>
    <w:rsid w:val="754216C1"/>
    <w:rsid w:val="75BD124E"/>
    <w:rsid w:val="75C7203D"/>
    <w:rsid w:val="764F693C"/>
    <w:rsid w:val="770A0CC3"/>
    <w:rsid w:val="771E77B9"/>
    <w:rsid w:val="77592B9B"/>
    <w:rsid w:val="777E5D17"/>
    <w:rsid w:val="77E41408"/>
    <w:rsid w:val="77F2439C"/>
    <w:rsid w:val="780954A3"/>
    <w:rsid w:val="782549A0"/>
    <w:rsid w:val="78700FBA"/>
    <w:rsid w:val="788405CB"/>
    <w:rsid w:val="78D6777B"/>
    <w:rsid w:val="7962424D"/>
    <w:rsid w:val="7A0643B5"/>
    <w:rsid w:val="7A2134D3"/>
    <w:rsid w:val="7A8D4D62"/>
    <w:rsid w:val="7AA92364"/>
    <w:rsid w:val="7B746C71"/>
    <w:rsid w:val="7B8117A9"/>
    <w:rsid w:val="7B8351D1"/>
    <w:rsid w:val="7BED7813"/>
    <w:rsid w:val="7C9000FA"/>
    <w:rsid w:val="7CAD6D69"/>
    <w:rsid w:val="7D5E0B05"/>
    <w:rsid w:val="7D9F624B"/>
    <w:rsid w:val="7D9F7B3D"/>
    <w:rsid w:val="7DB078EA"/>
    <w:rsid w:val="7E4342AC"/>
    <w:rsid w:val="7E536ABA"/>
    <w:rsid w:val="7E5E47BF"/>
    <w:rsid w:val="7E8537CD"/>
    <w:rsid w:val="7E93025D"/>
    <w:rsid w:val="7EAA0BE4"/>
    <w:rsid w:val="7EC73A39"/>
    <w:rsid w:val="7F0D131B"/>
    <w:rsid w:val="7F866B4F"/>
    <w:rsid w:val="7F9336FF"/>
    <w:rsid w:val="7F9C2A34"/>
    <w:rsid w:val="7FB20DB0"/>
    <w:rsid w:val="7FFC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jc w:val="left"/>
      <w:outlineLvl w:val="3"/>
    </w:pPr>
    <w:rPr>
      <w:b/>
      <w:bCs/>
      <w:sz w:val="24"/>
    </w:rPr>
  </w:style>
  <w:style w:type="character" w:default="1" w:styleId="15">
    <w:name w:val="Default Paragraph Font"/>
    <w:semiHidden/>
    <w:qFormat/>
    <w:uiPriority w:val="0"/>
    <w:rPr>
      <w:rFonts w:ascii="Tahoma" w:hAnsi="Tahoma"/>
      <w:sz w:val="28"/>
      <w:szCs w:val="20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rFonts w:asciiTheme="minorHAnsi" w:hAnsiTheme="minorHAnsi" w:cstheme="minorBidi"/>
      <w:lang w:bidi="he-IL"/>
    </w:rPr>
  </w:style>
  <w:style w:type="paragraph" w:styleId="7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8"/>
      <w:szCs w:val="2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1"/>
    <w:qFormat/>
    <w:uiPriority w:val="0"/>
    <w:pPr>
      <w:ind w:left="200" w:hanging="200" w:hangingChars="200"/>
    </w:p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table" w:customStyle="1" w:styleId="17">
    <w:name w:val="正文+宋体4"/>
    <w:basedOn w:val="13"/>
    <w:qFormat/>
    <w:uiPriority w:val="99"/>
    <w:pPr>
      <w:widowControl w:val="0"/>
      <w:jc w:val="center"/>
    </w:pPr>
    <w:rPr>
      <w:szCs w:val="21"/>
    </w:rPr>
    <w:tblPr>
      <w:tblBorders>
        <w:top w:val="single" w:color="auto" w:sz="12" w:space="0"/>
        <w:bottom w:val="single" w:color="auto" w:sz="12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  <w:vAlign w:val="center"/>
    </w:tcPr>
  </w:style>
  <w:style w:type="paragraph" w:customStyle="1" w:styleId="18">
    <w:name w:val="环评批文文号"/>
    <w:basedOn w:val="1"/>
    <w:qFormat/>
    <w:uiPriority w:val="0"/>
    <w:pPr>
      <w:spacing w:before="1520" w:after="100" w:afterLines="100" w:line="600" w:lineRule="exact"/>
      <w:ind w:firstLine="0" w:firstLineChars="0"/>
      <w:jc w:val="right"/>
      <w:outlineLvl w:val="9"/>
    </w:pPr>
    <w:rPr>
      <w:rFonts w:hint="eastAsia"/>
      <w:color w:val="000000"/>
    </w:rPr>
  </w:style>
  <w:style w:type="paragraph" w:customStyle="1" w:styleId="19">
    <w:name w:val="主送机关"/>
    <w:basedOn w:val="1"/>
    <w:next w:val="1"/>
    <w:qFormat/>
    <w:uiPriority w:val="0"/>
    <w:pPr>
      <w:spacing w:line="600" w:lineRule="exact"/>
      <w:ind w:firstLine="0" w:firstLineChars="0"/>
      <w:outlineLvl w:val="9"/>
    </w:pPr>
    <w:rPr>
      <w:rFonts w:hint="eastAsia"/>
      <w:color w:val="000000"/>
    </w:rPr>
  </w:style>
  <w:style w:type="paragraph" w:customStyle="1" w:styleId="20">
    <w:name w:val="抄送单位"/>
    <w:basedOn w:val="1"/>
    <w:next w:val="1"/>
    <w:qFormat/>
    <w:uiPriority w:val="0"/>
    <w:pPr>
      <w:wordWrap w:val="0"/>
      <w:spacing w:line="600" w:lineRule="exact"/>
      <w:ind w:firstLine="0" w:firstLineChars="0"/>
      <w:jc w:val="left"/>
      <w:outlineLvl w:val="9"/>
    </w:pPr>
    <w:rPr>
      <w:rFonts w:hint="eastAsia"/>
      <w:color w:val="000000"/>
      <w:sz w:val="32"/>
      <w:szCs w:val="30"/>
    </w:rPr>
  </w:style>
  <w:style w:type="paragraph" w:customStyle="1" w:styleId="21">
    <w:name w:val="0cyx正文"/>
    <w:basedOn w:val="22"/>
    <w:qFormat/>
    <w:uiPriority w:val="0"/>
    <w:pPr>
      <w:keepNext w:val="0"/>
      <w:keepLines w:val="0"/>
      <w:ind w:firstLine="480" w:firstLineChars="200"/>
      <w:jc w:val="both"/>
      <w:outlineLvl w:val="9"/>
    </w:pPr>
    <w:rPr>
      <w:rFonts w:eastAsia="宋体"/>
      <w:b w:val="0"/>
      <w:sz w:val="24"/>
      <w:szCs w:val="24"/>
    </w:rPr>
  </w:style>
  <w:style w:type="paragraph" w:customStyle="1" w:styleId="22">
    <w:name w:val="0cyx第2标题"/>
    <w:basedOn w:val="3"/>
    <w:qFormat/>
    <w:uiPriority w:val="0"/>
    <w:pPr>
      <w:widowControl w:val="0"/>
      <w:adjustRightInd w:val="0"/>
      <w:snapToGrid w:val="0"/>
      <w:spacing w:before="0" w:after="0" w:line="360" w:lineRule="auto"/>
      <w:ind w:firstLine="0" w:firstLineChars="0"/>
      <w:jc w:val="left"/>
    </w:pPr>
    <w:rPr>
      <w:rFonts w:ascii="Times New Roman" w:hAnsi="Times New Roman" w:eastAsia="黑体"/>
    </w:rPr>
  </w:style>
  <w:style w:type="paragraph" w:customStyle="1" w:styleId="23">
    <w:name w:val="5文章正文"/>
    <w:basedOn w:val="1"/>
    <w:qFormat/>
    <w:uiPriority w:val="0"/>
    <w:pPr>
      <w:spacing w:line="360" w:lineRule="auto"/>
      <w:ind w:firstLine="200" w:firstLineChars="200"/>
    </w:pPr>
    <w:rPr>
      <w:rFonts w:cstheme="minorBidi"/>
      <w:sz w:val="24"/>
      <w:szCs w:val="24"/>
    </w:rPr>
  </w:style>
  <w:style w:type="character" w:customStyle="1" w:styleId="24">
    <w:name w:val="正文（） Char"/>
    <w:link w:val="25"/>
    <w:qFormat/>
    <w:uiPriority w:val="0"/>
    <w:rPr>
      <w:rFonts w:ascii="Times New Roman" w:hAnsi="Times New Roman" w:cs="Times New Roman"/>
      <w:color w:val="FF0000"/>
    </w:rPr>
  </w:style>
  <w:style w:type="paragraph" w:customStyle="1" w:styleId="25">
    <w:name w:val="正文（）"/>
    <w:basedOn w:val="1"/>
    <w:link w:val="24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cs="Times New Roman"/>
      <w:color w:val="FF0000"/>
    </w:rPr>
  </w:style>
  <w:style w:type="character" w:customStyle="1" w:styleId="26">
    <w:name w:val="表格内容（） Char"/>
    <w:link w:val="27"/>
    <w:qFormat/>
    <w:uiPriority w:val="0"/>
    <w:rPr>
      <w:rFonts w:ascii="Times New Roman" w:hAnsi="Times New Roman" w:cs="Times New Roman"/>
      <w:color w:val="FF0000"/>
      <w:sz w:val="21"/>
      <w:szCs w:val="21"/>
    </w:rPr>
  </w:style>
  <w:style w:type="paragraph" w:customStyle="1" w:styleId="27">
    <w:name w:val="表格内容（）"/>
    <w:basedOn w:val="1"/>
    <w:link w:val="26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28">
    <w:name w:val="表格内容"/>
    <w:basedOn w:val="1"/>
    <w:next w:val="1"/>
    <w:qFormat/>
    <w:uiPriority w:val="0"/>
    <w:pPr>
      <w:spacing w:line="240" w:lineRule="auto"/>
      <w:jc w:val="center"/>
    </w:pPr>
    <w:rPr>
      <w:rFonts w:ascii="Times New Roman" w:hAnsi="Times New Roman" w:eastAsia="宋体"/>
      <w:kern w:val="0"/>
      <w:sz w:val="21"/>
      <w:szCs w:val="20"/>
    </w:rPr>
  </w:style>
  <w:style w:type="paragraph" w:customStyle="1" w:styleId="29">
    <w:name w:val="YJ正文"/>
    <w:basedOn w:val="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Calibri" w:hAnsi="Calibri" w:eastAsia="宋体" w:cs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2100</Words>
  <Characters>2221</Characters>
  <Lines>0</Lines>
  <Paragraphs>0</Paragraphs>
  <TotalTime>6</TotalTime>
  <ScaleCrop>false</ScaleCrop>
  <LinksUpToDate>false</LinksUpToDate>
  <CharactersWithSpaces>2240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2018-08-21T07:06:00Z</dcterms:created>
  <dc:creator>Yuri</dc:creator>
  <cp:lastModifiedBy>baby</cp:lastModifiedBy>
  <cp:lastPrinted>2024-07-01T07:50:00Z</cp:lastPrinted>
  <dcterms:modified xsi:type="dcterms:W3CDTF">2025-10-27T01:43:43Z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B4DA65A82D7144E9AA39BB6545BC730F_13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